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5793"/>
      </w:tblGrid>
      <w:tr w:rsidR="00CE2130" w:rsidRPr="002E0E45" w:rsidTr="005677D3">
        <w:trPr>
          <w:jc w:val="center"/>
        </w:trPr>
        <w:tc>
          <w:tcPr>
            <w:tcW w:w="4134" w:type="dxa"/>
          </w:tcPr>
          <w:p w:rsidR="00CE2130" w:rsidRPr="004B17A8" w:rsidRDefault="00CE2130" w:rsidP="005677D3">
            <w:pPr>
              <w:rPr>
                <w:sz w:val="24"/>
                <w:szCs w:val="24"/>
              </w:rPr>
            </w:pPr>
            <w:r>
              <w:rPr>
                <w:sz w:val="24"/>
                <w:szCs w:val="24"/>
              </w:rPr>
              <w:t xml:space="preserve">  </w:t>
            </w:r>
            <w:r w:rsidRPr="004B17A8">
              <w:rPr>
                <w:sz w:val="24"/>
                <w:szCs w:val="24"/>
              </w:rPr>
              <w:t>HỘI CỰU CHIẾN BINH VIỆT NAM</w:t>
            </w:r>
          </w:p>
        </w:tc>
        <w:tc>
          <w:tcPr>
            <w:tcW w:w="5793" w:type="dxa"/>
          </w:tcPr>
          <w:p w:rsidR="00CE2130" w:rsidRPr="002E0E45" w:rsidRDefault="00CE2130" w:rsidP="005677D3">
            <w:pPr>
              <w:rPr>
                <w:b/>
                <w:sz w:val="26"/>
                <w:szCs w:val="26"/>
              </w:rPr>
            </w:pPr>
            <w:r w:rsidRPr="002E0E45">
              <w:rPr>
                <w:b/>
                <w:sz w:val="26"/>
                <w:szCs w:val="26"/>
              </w:rPr>
              <w:t>CỘNG HÒA XÃ HỘI CHỦ NGHĨA VIỆT NAM</w:t>
            </w:r>
          </w:p>
        </w:tc>
      </w:tr>
      <w:tr w:rsidR="00CE2130" w:rsidRPr="002E0E45" w:rsidTr="005677D3">
        <w:trPr>
          <w:jc w:val="center"/>
        </w:trPr>
        <w:tc>
          <w:tcPr>
            <w:tcW w:w="4134" w:type="dxa"/>
          </w:tcPr>
          <w:p w:rsidR="00CE2130" w:rsidRPr="002E0E45" w:rsidRDefault="00CE2130" w:rsidP="005677D3">
            <w:pPr>
              <w:jc w:val="center"/>
              <w:rPr>
                <w:b/>
                <w:sz w:val="26"/>
                <w:szCs w:val="26"/>
              </w:rPr>
            </w:pPr>
            <w:r w:rsidRPr="002E0E45">
              <w:rPr>
                <w:noProof/>
                <w:sz w:val="26"/>
                <w:szCs w:val="26"/>
              </w:rPr>
              <mc:AlternateContent>
                <mc:Choice Requires="wps">
                  <w:drawing>
                    <wp:anchor distT="0" distB="0" distL="114300" distR="114300" simplePos="0" relativeHeight="251659264" behindDoc="0" locked="0" layoutInCell="1" allowOverlap="1" wp14:anchorId="4779985D" wp14:editId="1ED70A9E">
                      <wp:simplePos x="0" y="0"/>
                      <wp:positionH relativeFrom="column">
                        <wp:posOffset>750911</wp:posOffset>
                      </wp:positionH>
                      <wp:positionV relativeFrom="paragraph">
                        <wp:posOffset>185420</wp:posOffset>
                      </wp:positionV>
                      <wp:extent cx="7683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14.6pt" to="1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" strokecolor="#0d0d0d [3069]"/>
                  </w:pict>
                </mc:Fallback>
              </mc:AlternateContent>
            </w:r>
            <w:r>
              <w:rPr>
                <w:b/>
                <w:sz w:val="26"/>
                <w:szCs w:val="26"/>
              </w:rPr>
              <w:t>HỘI CCB TỈNH QUẢNG NAM</w:t>
            </w:r>
          </w:p>
        </w:tc>
        <w:tc>
          <w:tcPr>
            <w:tcW w:w="5793" w:type="dxa"/>
          </w:tcPr>
          <w:p w:rsidR="00CE2130" w:rsidRPr="002E0E45" w:rsidRDefault="00CE2130" w:rsidP="005677D3">
            <w:pPr>
              <w:jc w:val="center"/>
              <w:rPr>
                <w:b/>
                <w:sz w:val="26"/>
                <w:szCs w:val="26"/>
              </w:rPr>
            </w:pPr>
            <w:r w:rsidRPr="002E0E45">
              <w:rPr>
                <w:b/>
                <w:sz w:val="26"/>
                <w:szCs w:val="26"/>
              </w:rPr>
              <w:t xml:space="preserve">Độc lập </w:t>
            </w:r>
            <w:r>
              <w:rPr>
                <w:b/>
                <w:sz w:val="26"/>
                <w:szCs w:val="26"/>
              </w:rPr>
              <w:t>-</w:t>
            </w:r>
            <w:r w:rsidRPr="002E0E45">
              <w:rPr>
                <w:b/>
                <w:sz w:val="26"/>
                <w:szCs w:val="26"/>
              </w:rPr>
              <w:t xml:space="preserve"> Tự do </w:t>
            </w:r>
            <w:r>
              <w:rPr>
                <w:b/>
                <w:sz w:val="26"/>
                <w:szCs w:val="26"/>
              </w:rPr>
              <w:t>-</w:t>
            </w:r>
            <w:r w:rsidRPr="002E0E45">
              <w:rPr>
                <w:b/>
                <w:sz w:val="26"/>
                <w:szCs w:val="26"/>
              </w:rPr>
              <w:t xml:space="preserve"> Hạnh phúc</w:t>
            </w:r>
          </w:p>
        </w:tc>
      </w:tr>
      <w:tr w:rsidR="00CE2130" w:rsidRPr="002E0E45" w:rsidTr="005677D3">
        <w:trPr>
          <w:trHeight w:val="258"/>
          <w:jc w:val="center"/>
        </w:trPr>
        <w:tc>
          <w:tcPr>
            <w:tcW w:w="4134" w:type="dxa"/>
          </w:tcPr>
          <w:p w:rsidR="00CE2130" w:rsidRPr="002E0E45" w:rsidRDefault="00CE2130" w:rsidP="00261C0B">
            <w:pPr>
              <w:spacing w:before="120"/>
              <w:jc w:val="center"/>
              <w:rPr>
                <w:b/>
                <w:sz w:val="26"/>
                <w:szCs w:val="26"/>
              </w:rPr>
            </w:pPr>
            <w:r w:rsidRPr="002E0E45">
              <w:rPr>
                <w:sz w:val="26"/>
                <w:szCs w:val="26"/>
              </w:rPr>
              <w:t xml:space="preserve"> Số</w:t>
            </w:r>
            <w:r>
              <w:rPr>
                <w:sz w:val="26"/>
                <w:szCs w:val="26"/>
              </w:rPr>
              <w:t xml:space="preserve">: </w:t>
            </w:r>
            <w:r w:rsidR="00261C0B">
              <w:rPr>
                <w:b/>
                <w:sz w:val="26"/>
                <w:szCs w:val="26"/>
              </w:rPr>
              <w:t>29</w:t>
            </w:r>
            <w:bookmarkStart w:id="0" w:name="_GoBack"/>
            <w:bookmarkEnd w:id="0"/>
            <w:r>
              <w:rPr>
                <w:b/>
                <w:sz w:val="26"/>
                <w:szCs w:val="26"/>
              </w:rPr>
              <w:t xml:space="preserve"> </w:t>
            </w:r>
            <w:r>
              <w:rPr>
                <w:sz w:val="26"/>
                <w:szCs w:val="26"/>
              </w:rPr>
              <w:t>/HD-CCB</w:t>
            </w:r>
          </w:p>
        </w:tc>
        <w:tc>
          <w:tcPr>
            <w:tcW w:w="5793" w:type="dxa"/>
          </w:tcPr>
          <w:p w:rsidR="00CE2130" w:rsidRPr="002E0E45" w:rsidRDefault="00CE2130" w:rsidP="00A25304">
            <w:pPr>
              <w:spacing w:before="120"/>
              <w:jc w:val="center"/>
              <w:rPr>
                <w:i/>
                <w:sz w:val="26"/>
                <w:szCs w:val="26"/>
              </w:rPr>
            </w:pPr>
            <w:r w:rsidRPr="002E0E45">
              <w:rPr>
                <w:b/>
                <w:noProof/>
                <w:sz w:val="26"/>
                <w:szCs w:val="26"/>
              </w:rPr>
              <mc:AlternateContent>
                <mc:Choice Requires="wps">
                  <w:drawing>
                    <wp:anchor distT="0" distB="0" distL="114300" distR="114300" simplePos="0" relativeHeight="251660288" behindDoc="0" locked="0" layoutInCell="1" allowOverlap="1" wp14:anchorId="3ABF1947" wp14:editId="50399661">
                      <wp:simplePos x="0" y="0"/>
                      <wp:positionH relativeFrom="column">
                        <wp:posOffset>761071</wp:posOffset>
                      </wp:positionH>
                      <wp:positionV relativeFrom="paragraph">
                        <wp:posOffset>1270</wp:posOffset>
                      </wp:positionV>
                      <wp:extent cx="20586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95pt,.1pt" to="22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" strokecolor="black [3213]"/>
                  </w:pict>
                </mc:Fallback>
              </mc:AlternateContent>
            </w:r>
            <w:r w:rsidRPr="002E0E45">
              <w:rPr>
                <w:i/>
                <w:sz w:val="26"/>
                <w:szCs w:val="26"/>
              </w:rPr>
              <w:t>Quảng N</w:t>
            </w:r>
            <w:r>
              <w:rPr>
                <w:i/>
                <w:sz w:val="26"/>
                <w:szCs w:val="26"/>
              </w:rPr>
              <w:t xml:space="preserve">am, ngày </w:t>
            </w:r>
            <w:r w:rsidR="00A25304">
              <w:rPr>
                <w:i/>
                <w:sz w:val="26"/>
                <w:szCs w:val="26"/>
              </w:rPr>
              <w:t>24</w:t>
            </w:r>
            <w:r>
              <w:rPr>
                <w:i/>
                <w:sz w:val="26"/>
                <w:szCs w:val="26"/>
              </w:rPr>
              <w:t xml:space="preserve"> tháng 01 năm 2024</w:t>
            </w:r>
          </w:p>
        </w:tc>
      </w:tr>
    </w:tbl>
    <w:p w:rsidR="00CE2130" w:rsidRDefault="00CE2130" w:rsidP="00CE2130">
      <w:pPr>
        <w:spacing w:after="0" w:line="240" w:lineRule="auto"/>
        <w:jc w:val="center"/>
        <w:rPr>
          <w:b/>
        </w:rPr>
      </w:pPr>
    </w:p>
    <w:p w:rsidR="00125A8E" w:rsidRPr="00CE2130" w:rsidRDefault="00125A8E" w:rsidP="00CE2130">
      <w:pPr>
        <w:spacing w:after="0" w:line="240" w:lineRule="auto"/>
        <w:jc w:val="center"/>
        <w:rPr>
          <w:b/>
        </w:rPr>
      </w:pPr>
      <w:r w:rsidRPr="00CE2130">
        <w:rPr>
          <w:b/>
        </w:rPr>
        <w:t>HƯỚNG DẪN</w:t>
      </w:r>
    </w:p>
    <w:p w:rsidR="00125A8E" w:rsidRDefault="00125A8E" w:rsidP="00CE2130">
      <w:pPr>
        <w:spacing w:after="0" w:line="240" w:lineRule="auto"/>
        <w:jc w:val="center"/>
        <w:rPr>
          <w:b/>
        </w:rPr>
      </w:pPr>
      <w:r w:rsidRPr="00CE2130">
        <w:rPr>
          <w:b/>
        </w:rPr>
        <w:t xml:space="preserve">Công tác phòng, chống tội phạm; mua bán người; ma túy mại dâm; HIV/AIDS </w:t>
      </w:r>
      <w:r w:rsidR="00A25304">
        <w:rPr>
          <w:b/>
        </w:rPr>
        <w:t>và</w:t>
      </w:r>
      <w:r w:rsidRPr="00CE2130">
        <w:rPr>
          <w:b/>
        </w:rPr>
        <w:t xml:space="preserve"> thực hiện phong trào toàn dân Bảo vệ ANTQ năm 2024</w:t>
      </w:r>
    </w:p>
    <w:p w:rsidR="00CE2130" w:rsidRPr="00CE2130" w:rsidRDefault="00CE2130" w:rsidP="00CE2130">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2313696</wp:posOffset>
                </wp:positionH>
                <wp:positionV relativeFrom="paragraph">
                  <wp:posOffset>50018</wp:posOffset>
                </wp:positionV>
                <wp:extent cx="1283335" cy="1"/>
                <wp:effectExtent l="0" t="0" r="12065" b="19050"/>
                <wp:wrapNone/>
                <wp:docPr id="1" name="Straight Connector 1"/>
                <wp:cNvGraphicFramePr/>
                <a:graphic xmlns:a="http://schemas.openxmlformats.org/drawingml/2006/main">
                  <a:graphicData uri="http://schemas.microsoft.com/office/word/2010/wordprocessingShape">
                    <wps:wsp>
                      <wps:cNvCnPr/>
                      <wps:spPr>
                        <a:xfrm flipV="1">
                          <a:off x="0" y="0"/>
                          <a:ext cx="128333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3.95pt" to="28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" strokecolor="black [3040]"/>
            </w:pict>
          </mc:Fallback>
        </mc:AlternateContent>
      </w:r>
    </w:p>
    <w:p w:rsidR="0078203F" w:rsidRDefault="0078203F" w:rsidP="001763F4">
      <w:pPr>
        <w:spacing w:after="0" w:line="240" w:lineRule="auto"/>
        <w:ind w:firstLine="720"/>
        <w:jc w:val="both"/>
      </w:pPr>
      <w:r>
        <w:t>Căn cứ vào Hướng dẫn số 05/HD ngày 1</w:t>
      </w:r>
      <w:r w:rsidR="003A1ED6">
        <w:t>1</w:t>
      </w:r>
      <w:r>
        <w:t xml:space="preserve">/01/2024 của Ban </w:t>
      </w:r>
      <w:r w:rsidR="003A1ED6">
        <w:t xml:space="preserve">Chỉ </w:t>
      </w:r>
      <w:r>
        <w:t>đạo PCTP, TNXH và xây dựng phong trào Toàn dân bảo vệ ANTQ của Trung ương Hội CC</w:t>
      </w:r>
      <w:r w:rsidR="00190628">
        <w:t>B</w:t>
      </w:r>
      <w:r>
        <w:t xml:space="preserve"> Việt Nam.</w:t>
      </w:r>
    </w:p>
    <w:p w:rsidR="00125A8E" w:rsidRDefault="00A25304" w:rsidP="001763F4">
      <w:pPr>
        <w:spacing w:after="0" w:line="240" w:lineRule="auto"/>
        <w:ind w:firstLine="720"/>
        <w:jc w:val="both"/>
      </w:pPr>
      <w:r>
        <w:t>Thực hiện</w:t>
      </w:r>
      <w:r w:rsidR="00125A8E">
        <w:t xml:space="preserve"> Chương trình công tác năm 2024; Hội </w:t>
      </w:r>
      <w:r w:rsidR="006C0668">
        <w:t xml:space="preserve">CCB tỉnh </w:t>
      </w:r>
      <w:r w:rsidR="00125A8E">
        <w:t>hướng dẫn tổ chức các hoạt động phối hợp lồng ghép nhiệm vụ phòng chống tội phạm, mua bán người, ma túy, HIV/AID</w:t>
      </w:r>
      <w:r w:rsidR="00FF7F64">
        <w:t>S</w:t>
      </w:r>
      <w:r w:rsidR="00125A8E">
        <w:t>, tệ nạn ma túy, mại dâm năm 2024 tập trung một số nội dung sau:</w:t>
      </w:r>
    </w:p>
    <w:p w:rsidR="00125A8E" w:rsidRPr="00CE2130" w:rsidRDefault="00125A8E" w:rsidP="001763F4">
      <w:pPr>
        <w:spacing w:after="0" w:line="240" w:lineRule="auto"/>
        <w:ind w:firstLine="720"/>
        <w:rPr>
          <w:b/>
        </w:rPr>
      </w:pPr>
      <w:r w:rsidRPr="00CE2130">
        <w:rPr>
          <w:b/>
        </w:rPr>
        <w:t>1. Công tác phòng, chống tội phạm, mua bán người.</w:t>
      </w:r>
    </w:p>
    <w:p w:rsidR="00125A8E" w:rsidRPr="008D6223" w:rsidRDefault="00125A8E" w:rsidP="001763F4">
      <w:pPr>
        <w:spacing w:after="0" w:line="240" w:lineRule="auto"/>
        <w:ind w:firstLine="720"/>
        <w:jc w:val="both"/>
        <w:rPr>
          <w:spacing w:val="-2"/>
        </w:rPr>
      </w:pPr>
      <w:r w:rsidRPr="008D6223">
        <w:rPr>
          <w:spacing w:val="-2"/>
        </w:rPr>
        <w:t>Phối hợp chặt chẽ với các lực lượng chức năng của địa phương triển khai thực hiện có hiệu quả các Chỉ thị, Nghị quyết của Đảng, Quốc Hội, Chính phủ về công tác phòng chống tội phạ</w:t>
      </w:r>
      <w:r w:rsidR="00CE2130" w:rsidRPr="008D6223">
        <w:rPr>
          <w:spacing w:val="-2"/>
        </w:rPr>
        <w:t>m</w:t>
      </w:r>
      <w:r w:rsidR="00CE2130" w:rsidRPr="008D6223">
        <w:rPr>
          <w:rStyle w:val="FootnoteReference"/>
          <w:b/>
          <w:spacing w:val="-2"/>
        </w:rPr>
        <w:footnoteReference w:id="1"/>
      </w:r>
      <w:r w:rsidRPr="008D6223">
        <w:rPr>
          <w:spacing w:val="-2"/>
        </w:rPr>
        <w:t>, tổ chức tốt các hoạt động hưởng ứng ứng và tham gia tích</w:t>
      </w:r>
      <w:r w:rsidR="00CE2130" w:rsidRPr="008D6223">
        <w:rPr>
          <w:spacing w:val="-2"/>
        </w:rPr>
        <w:t xml:space="preserve"> </w:t>
      </w:r>
      <w:r w:rsidRPr="008D6223">
        <w:rPr>
          <w:spacing w:val="-2"/>
        </w:rPr>
        <w:t xml:space="preserve">cực các đợt cao điểm tấn công trấn áp tội phạm nhất là trong dịp tết </w:t>
      </w:r>
      <w:r w:rsidR="00FF7F64" w:rsidRPr="008D6223">
        <w:rPr>
          <w:spacing w:val="-2"/>
        </w:rPr>
        <w:t xml:space="preserve">Nguyên </w:t>
      </w:r>
      <w:r w:rsidRPr="008D6223">
        <w:rPr>
          <w:spacing w:val="-2"/>
        </w:rPr>
        <w:t>đán Giáp Thìn 2024; cao điểm từ 01/7</w:t>
      </w:r>
      <w:r w:rsidR="00FF7F64" w:rsidRPr="008D6223">
        <w:rPr>
          <w:spacing w:val="-2"/>
        </w:rPr>
        <w:t xml:space="preserve"> </w:t>
      </w:r>
      <w:r w:rsidRPr="008D6223">
        <w:rPr>
          <w:spacing w:val="-2"/>
        </w:rPr>
        <w:t>-</w:t>
      </w:r>
      <w:r w:rsidR="00FF7F64" w:rsidRPr="008D6223">
        <w:rPr>
          <w:spacing w:val="-2"/>
        </w:rPr>
        <w:t xml:space="preserve"> </w:t>
      </w:r>
      <w:r w:rsidRPr="008D6223">
        <w:rPr>
          <w:spacing w:val="-2"/>
        </w:rPr>
        <w:t>30/9/2024 thực hiện “Ngày toàn dân phòng, chống mua bán người” và ngày thế giới phòng chống mua bán người 30/7”; tháng phòng, chố</w:t>
      </w:r>
      <w:r w:rsidR="003A1ED6">
        <w:rPr>
          <w:spacing w:val="-2"/>
        </w:rPr>
        <w:t xml:space="preserve">ng ma túy (tháng 6). </w:t>
      </w:r>
      <w:r w:rsidR="003A1ED6" w:rsidRPr="008D6223">
        <w:rPr>
          <w:spacing w:val="-2"/>
        </w:rPr>
        <w:t xml:space="preserve">Các </w:t>
      </w:r>
      <w:r w:rsidRPr="008D6223">
        <w:rPr>
          <w:spacing w:val="-2"/>
        </w:rPr>
        <w:t xml:space="preserve">cấp </w:t>
      </w:r>
      <w:r w:rsidR="00FF7F64" w:rsidRPr="008D6223">
        <w:rPr>
          <w:spacing w:val="-2"/>
        </w:rPr>
        <w:t xml:space="preserve">Hội </w:t>
      </w:r>
      <w:r w:rsidRPr="008D6223">
        <w:rPr>
          <w:spacing w:val="-2"/>
        </w:rPr>
        <w:t xml:space="preserve">chủ động hỗ trợ tích cực cho lực lượng Công an, thường xuyên nắm chắc tình hình hội viên và </w:t>
      </w:r>
      <w:r w:rsidR="00FF7F64" w:rsidRPr="008D6223">
        <w:rPr>
          <w:spacing w:val="-2"/>
        </w:rPr>
        <w:t xml:space="preserve">Nhân </w:t>
      </w:r>
      <w:r w:rsidRPr="008D6223">
        <w:rPr>
          <w:spacing w:val="-2"/>
        </w:rPr>
        <w:t xml:space="preserve">dân; triển khai có hiệu quả các hoạt động phòng ngừa, ngăn chặn và đẩy lùi các loại tội phạm từ nguyên nhân xã hội và các tệ nạn xã hội ở địa bàn dân cư. Khi phát hiện có dấu hiệu không bình thường về ANTT kịp thời tham mưu đề </w:t>
      </w:r>
      <w:r w:rsidR="00770209">
        <w:rPr>
          <w:spacing w:val="-2"/>
        </w:rPr>
        <w:t>x</w:t>
      </w:r>
      <w:r w:rsidRPr="008D6223">
        <w:rPr>
          <w:spacing w:val="-2"/>
        </w:rPr>
        <w:t xml:space="preserve">uất với cấp ủy </w:t>
      </w:r>
      <w:r w:rsidR="00FF7F64" w:rsidRPr="008D6223">
        <w:rPr>
          <w:spacing w:val="-2"/>
        </w:rPr>
        <w:t>Đ</w:t>
      </w:r>
      <w:r w:rsidRPr="008D6223">
        <w:rPr>
          <w:spacing w:val="-2"/>
        </w:rPr>
        <w:t>ảng, chính quyền có những biện pháp đấu tranh phòng ngừa ngăn chặn, không để xảy ra bị động, bất ngờ về ANTT, không để hội viên bị lôi kéo tụ tập tham gia các vụ mất an ninh trật tự trong địa bàn.</w:t>
      </w:r>
    </w:p>
    <w:p w:rsidR="00125A8E" w:rsidRDefault="00125A8E" w:rsidP="001763F4">
      <w:pPr>
        <w:spacing w:after="0" w:line="240" w:lineRule="auto"/>
        <w:ind w:firstLine="720"/>
        <w:jc w:val="both"/>
      </w:pPr>
      <w:r>
        <w:t xml:space="preserve">Những địa bàn xác định nằm trong diện trọng điểm về ANTT, các cấp Hội cần </w:t>
      </w:r>
      <w:r w:rsidR="00770209">
        <w:t xml:space="preserve">phối hợp, </w:t>
      </w:r>
      <w:r>
        <w:t>tiếp tục triển khai nắm vững các tiêu chí trong thực hiện đề</w:t>
      </w:r>
      <w:r w:rsidR="00CE2130">
        <w:t xml:space="preserve"> án “</w:t>
      </w:r>
      <w:r>
        <w:t>Chuyển hóa địa bàn trọng điểm, phức tạp về trật tự, an toàn xã hội đến năm 2024</w:t>
      </w:r>
      <w:r w:rsidR="00FF7F64">
        <w:t>”</w:t>
      </w:r>
      <w:r>
        <w:t xml:space="preserve"> tích cực tham gia các hoạt động góp phần cùng các lực lượng thực hiện chuyển hóa </w:t>
      </w:r>
      <w:r>
        <w:lastRenderedPageBreak/>
        <w:t>địa bàn bền vững, ngăn chặn, đẩy lùi các loại tội phạm; làm tiền đề cho việc phát triển kinh tế, xã hội của địa phương.</w:t>
      </w:r>
    </w:p>
    <w:p w:rsidR="00125A8E" w:rsidRDefault="00125A8E" w:rsidP="001763F4">
      <w:pPr>
        <w:spacing w:after="0" w:line="240" w:lineRule="auto"/>
        <w:ind w:firstLine="720"/>
        <w:jc w:val="both"/>
      </w:pPr>
      <w:r>
        <w:t>Công tác tuyên truyền tập trung theo hướng tiếp cận các nhóm đối tượng nguy cơ cao, địa bàn thường xuyên xảy ra tội phạm, vi phạm pháp luật, nâng cao hiệu quả công tác hòa giải ở cơ sở, phối hợp giải quyết tốt các xung đột xã hội, hòa giải các mâu thuẫn trong nội bộ</w:t>
      </w:r>
      <w:r w:rsidR="00770209">
        <w:t xml:space="preserve"> CCB, CQN và</w:t>
      </w:r>
      <w:r>
        <w:t xml:space="preserve"> </w:t>
      </w:r>
      <w:r w:rsidR="00FF7F64">
        <w:t xml:space="preserve">Nhân </w:t>
      </w:r>
      <w:r>
        <w:t xml:space="preserve">dân. Chủ động phối hợp tham gia các hoạt động tuyên truyền nhằm kiểm soát và ngăn chặn tình hình tội phạm liên quan đến tín dụng đen, phòng ngừa với loại tội phạm do người nước ngoài phạm tội, lừa đảo trên không gian mạng, tội phạm giết người do nguyên nhân xã hội, tội phạm giết người do nguyên nhân </w:t>
      </w:r>
      <w:r w:rsidR="00FF7F64">
        <w:t>sử dụng ma túy</w:t>
      </w:r>
      <w:r>
        <w:t xml:space="preserve"> v.</w:t>
      </w:r>
      <w:r w:rsidR="00CE2130">
        <w:t>v</w:t>
      </w:r>
      <w:r>
        <w:t>...</w:t>
      </w:r>
    </w:p>
    <w:p w:rsidR="00FF7F64" w:rsidRDefault="00125A8E" w:rsidP="001763F4">
      <w:pPr>
        <w:spacing w:after="0" w:line="240" w:lineRule="auto"/>
        <w:ind w:firstLine="720"/>
        <w:jc w:val="both"/>
      </w:pPr>
      <w:r>
        <w:t>Hưởng ứng việc triển khai ứng dụng mạng xã hội trong công tác tuyên truyền phòng chống tội phạm trong các tổ chức hội ở từng địa phương theo thông báo số 286/T</w:t>
      </w:r>
      <w:r w:rsidR="00FF7F64">
        <w:t>B</w:t>
      </w:r>
      <w:r>
        <w:t>-V01 ngày 4/11/2020 của cơ quan thường trực Ban Chỉ đạo 138/CP, tích cực</w:t>
      </w:r>
      <w:r w:rsidR="00FF7F64">
        <w:t xml:space="preserve"> tham gia và nâng cao chất lượng xây dựng phong trào toàn dân BVANTQ, chủ động phòng ngừa, duy trì tốt các tổ nắm, cung cấp tin kịp thời phát hiện, ngăn chặn hoạt động của các loại tội phạm với các hình thức tự phòng, tự quản, tự bảo vệ, tự hòa giải về ANTT ở các thôn, xóm, bản, ấp tổ dân phố. góp phần giữ vững TTANXH nhất là trong các dịp kỷ niệm lớn, các ngày lễ tết.</w:t>
      </w:r>
    </w:p>
    <w:p w:rsidR="00FF7F64" w:rsidRDefault="00FF7F64" w:rsidP="001763F4">
      <w:pPr>
        <w:spacing w:after="0" w:line="240" w:lineRule="auto"/>
        <w:ind w:firstLine="720"/>
        <w:jc w:val="both"/>
      </w:pPr>
      <w:r>
        <w:t>Phối hợp thực hiện có hiệu quả Nghị định số: 49/2020/NĐ-CP ngày 7/4/2020 của Chính Phủ quy định chi tiết thi hành Luật thi hành án dân sự về tái hòa nhập cộng đồng, Quyết định số: 22/2023/QĐ-TTg ngày 17/8/2023 về tín dụng đối với người chấp hành xong án phạt tù góp phần hạn chế tái phạm tội.</w:t>
      </w:r>
    </w:p>
    <w:p w:rsidR="00FF7F64" w:rsidRDefault="00FF7F64" w:rsidP="001763F4">
      <w:pPr>
        <w:spacing w:after="0" w:line="240" w:lineRule="auto"/>
        <w:ind w:firstLine="720"/>
        <w:jc w:val="both"/>
      </w:pPr>
      <w:r>
        <w:t>Lồng ghép tổ chức các hoạt động thực hiện phong trào “Toàn dân bảo vệ ANTQ” với phong trào “Toàn dân tham gia phòng, chống mua bán người” và phong trào “Toàn dân bảo vệ chủ quyền, an ninh biên giới quốc gia” bằng nhiều nội dung, hình thức phù hợp tình hình thực tế ở từng địa phương.</w:t>
      </w:r>
    </w:p>
    <w:p w:rsidR="00FF7F64" w:rsidRDefault="00FF7F64" w:rsidP="001763F4">
      <w:pPr>
        <w:spacing w:after="0" w:line="240" w:lineRule="auto"/>
        <w:ind w:firstLine="720"/>
        <w:rPr>
          <w:b/>
        </w:rPr>
      </w:pPr>
      <w:r w:rsidRPr="00FF7F64">
        <w:rPr>
          <w:b/>
        </w:rPr>
        <w:t>2. Công tác phòng, chống mua bán, vận chuyển, tàng trữ ma túy.</w:t>
      </w:r>
    </w:p>
    <w:p w:rsidR="00FF7F64" w:rsidRDefault="00FF7F64" w:rsidP="001763F4">
      <w:pPr>
        <w:spacing w:after="0" w:line="240" w:lineRule="auto"/>
        <w:ind w:firstLine="720"/>
        <w:jc w:val="both"/>
      </w:pPr>
      <w:r>
        <w:t>Tăng cường phối hợp thực hiện có hiệu quả Kế hoạch 186/KH-CCB-TG ngày 16/8/2019 của thường trực Trung ương Hội và các Chỉ thị, Nghị quyết của Đảng, Chính phủ</w:t>
      </w:r>
      <w:r w:rsidR="002A6C7E" w:rsidRPr="00BA22EC">
        <w:rPr>
          <w:rStyle w:val="FootnoteReference"/>
          <w:b/>
        </w:rPr>
        <w:footnoteReference w:id="2"/>
      </w:r>
      <w:r>
        <w:t>. Duy trì các biện pháp quản lý người nghiện trong hội viên và nhân dân; quả</w:t>
      </w:r>
      <w:r w:rsidR="004566D3">
        <w:t xml:space="preserve">n lý </w:t>
      </w:r>
      <w:r>
        <w:t>chặt chẽ những người sử dụng ma túy tổng hợp phòng ngừa ngáo đá</w:t>
      </w:r>
      <w:r w:rsidR="004566D3">
        <w:t>,</w:t>
      </w:r>
      <w:r>
        <w:t xml:space="preserve"> mất khả năng kiểm soát hành vi của bản thân, không để hiện tượng người nghiện</w:t>
      </w:r>
      <w:r w:rsidR="004566D3">
        <w:t>,</w:t>
      </w:r>
      <w:r>
        <w:t xml:space="preserve"> ngáo đá giết người xảy ra trong địa bàn, trong gia đình hội viên.</w:t>
      </w:r>
    </w:p>
    <w:p w:rsidR="00FF7F64" w:rsidRDefault="00FF7F64" w:rsidP="001763F4">
      <w:pPr>
        <w:spacing w:after="0" w:line="240" w:lineRule="auto"/>
        <w:ind w:firstLine="720"/>
        <w:jc w:val="both"/>
        <w:rPr>
          <w:b/>
        </w:rPr>
      </w:pPr>
      <w:r>
        <w:t xml:space="preserve">Sáu tháng đầu năm 2024 tiếp tục thực hiện chủ đề tháng phòng chống ma túy năm 2023 là </w:t>
      </w:r>
      <w:r w:rsidRPr="000B5014">
        <w:rPr>
          <w:b/>
        </w:rPr>
        <w:t>“Phòng, chống ma túy quyết liệt, hiệu quả, nâng cao trách nhiệm, chủ động phối hợp - Vì một cộng đồng sạch ma túy”</w:t>
      </w:r>
      <w:r w:rsidR="002A6C7E">
        <w:rPr>
          <w:b/>
        </w:rPr>
        <w:t>.</w:t>
      </w:r>
    </w:p>
    <w:p w:rsidR="002A6C7E" w:rsidRDefault="00FF7F64" w:rsidP="001763F4">
      <w:pPr>
        <w:spacing w:after="0" w:line="240" w:lineRule="auto"/>
        <w:ind w:firstLine="720"/>
        <w:jc w:val="both"/>
      </w:pPr>
      <w:r>
        <w:lastRenderedPageBreak/>
        <w:t>Các cấp Hội cần</w:t>
      </w:r>
      <w:r w:rsidR="00770209">
        <w:t xml:space="preserve"> phối hợp với các ngành, MTTQ và các tổ chức CT-XH</w:t>
      </w:r>
      <w:r>
        <w:t xml:space="preserve"> đẩy mạnh công tác tập huấn, tuyên truyền, giáo dục phòng, chống ma túy, ưu tiên tăng cường công tác tuyên truyền, cảnh báo trực diện về hậu quả, tác hại, cách nhận biết các loại ma túy nhất là ma túy tổng hợp, ma túy “núp bóng”, pha trộn tấm </w:t>
      </w:r>
      <w:r w:rsidR="00C0268E">
        <w:t>ướp</w:t>
      </w:r>
      <w:r>
        <w:t xml:space="preserve"> vào thực phẩm, đồ uống, kỹ năng phòng ngừa và tái trồng cây thuốc phiệ</w:t>
      </w:r>
      <w:r w:rsidR="002A6C7E">
        <w:t xml:space="preserve">n, </w:t>
      </w:r>
      <w:r>
        <w:t>cây có tiền chất gây nghiện cũng như sử dụng các loại ma túy tổng</w:t>
      </w:r>
      <w:r w:rsidR="002A6C7E">
        <w:t xml:space="preserve"> hợp và các chất hướng thần mới; nhất là các địa bàn trọng điểm, khu vực miền núi, địa bàn nhạy cảm phức tạp về ma túy, các nhóm có nguy cơ cao</w:t>
      </w:r>
      <w:r w:rsidR="00770209">
        <w:t xml:space="preserve"> trong CCB và các tầng lớp Nhân dân nhất là trong thanh thiếu niên</w:t>
      </w:r>
      <w:r w:rsidR="002A6C7E">
        <w:t>.</w:t>
      </w:r>
    </w:p>
    <w:p w:rsidR="002A6C7E" w:rsidRPr="008D6223" w:rsidRDefault="002A6C7E" w:rsidP="001763F4">
      <w:pPr>
        <w:spacing w:after="0" w:line="240" w:lineRule="auto"/>
        <w:ind w:firstLine="720"/>
        <w:jc w:val="both"/>
        <w:rPr>
          <w:spacing w:val="-4"/>
        </w:rPr>
      </w:pPr>
      <w:r w:rsidRPr="008D6223">
        <w:rPr>
          <w:spacing w:val="-4"/>
        </w:rPr>
        <w:t>Chủ động phối hợp phân loại người nghiện, nâng cao cảnh giác trước hiện tượng “ngáo đá” của người nghiện trong từng gia đình có người nghiện và từng địa bàn dân cư, không tham gia vận chuyển, mua bán, tàng trữ và sử dụng các chất ma túy để phòng ngừa. Tập trung cho tuyên truyền là tháng 6/2024 (tháng cao điểm phòng, chống ma túy), các cấp hội xây dựng Kế hoạch phối hợp tích cực tham gia hưởng ứng “Ngày toàn dân tham gia phòng, chống ma túy 26/6” có hiệu quả thiết thực.</w:t>
      </w:r>
    </w:p>
    <w:p w:rsidR="002A6C7E" w:rsidRPr="002A6C7E" w:rsidRDefault="002A6C7E" w:rsidP="001763F4">
      <w:pPr>
        <w:spacing w:after="0" w:line="240" w:lineRule="auto"/>
        <w:ind w:firstLine="720"/>
        <w:rPr>
          <w:b/>
        </w:rPr>
      </w:pPr>
      <w:r w:rsidRPr="002A6C7E">
        <w:rPr>
          <w:b/>
        </w:rPr>
        <w:t>3. Công tác phòng, chống mại dâm và cai nghiện ma túy, quản lý người sau cai, phòng chống tái nghiện.</w:t>
      </w:r>
    </w:p>
    <w:p w:rsidR="002A6C7E" w:rsidRDefault="002A6C7E" w:rsidP="001763F4">
      <w:pPr>
        <w:spacing w:after="0" w:line="240" w:lineRule="auto"/>
        <w:ind w:firstLine="720"/>
        <w:jc w:val="both"/>
      </w:pPr>
      <w:r>
        <w:t>Tiếp tục thực hiện Quyết định số: 1629/QĐ-TTg ngày 28/9/2021 của Thủ tướng Chính phủ về Chương trình phòng chống mại dâm giai đoạn 2021-2025 ở các cấp Hội</w:t>
      </w:r>
      <w:r w:rsidR="00AD5C07">
        <w:t>.</w:t>
      </w:r>
    </w:p>
    <w:p w:rsidR="00AD5C07" w:rsidRDefault="002A6C7E" w:rsidP="001763F4">
      <w:pPr>
        <w:spacing w:after="0" w:line="240" w:lineRule="auto"/>
        <w:ind w:firstLine="720"/>
        <w:jc w:val="both"/>
      </w:pPr>
      <w:r>
        <w:t>Đẩy mạnh công tác tuyên truyền giáo dục, phòng ngừa mại dâm, gắn phòng, chống mại</w:t>
      </w:r>
      <w:r w:rsidR="00AD5C07">
        <w:t xml:space="preserve"> </w:t>
      </w:r>
      <w:r>
        <w:t>dâm với phòng, chống lây nhiễm HIV/AIDS, phòng, chống tội phạm, mua bán người vì mục đích mại dâm, xâm hại tình dục trẻ em, đặc biệt tham gia phối hợp xây dựng, nhân rộng các mô hình về phong trào giảm tác hại trong phòng, chống tệ nạn mại dâm và thực hiện các mô hình về chính sách pháp luật xây dựng và phát triển hệ thống dịch vụ hỗ trợ xã hội giúp nạn nhân mua bán người và người bán dâm hoàn lương tái hòa nhập cộng đồng.</w:t>
      </w:r>
      <w:r w:rsidR="00AD5C07">
        <w:t xml:space="preserve"> </w:t>
      </w:r>
    </w:p>
    <w:p w:rsidR="00125A8E" w:rsidRDefault="002A6C7E" w:rsidP="001763F4">
      <w:pPr>
        <w:spacing w:after="0" w:line="240" w:lineRule="auto"/>
        <w:ind w:firstLine="720"/>
        <w:jc w:val="both"/>
      </w:pPr>
      <w:r>
        <w:t>Phối hợp với các đoàn thể chính trị và các cơ quan chức năng thực hiện tốt công tác dự phòng nghiện ma túy trong học sinh, sinh viên</w:t>
      </w:r>
      <w:r w:rsidR="00770209">
        <w:t>, đoàn viên thanh niên</w:t>
      </w:r>
      <w:r>
        <w:t xml:space="preserve"> và hội viên </w:t>
      </w:r>
      <w:r w:rsidR="00770209">
        <w:t xml:space="preserve">trên </w:t>
      </w:r>
      <w:r>
        <w:t>địa bàn. Tăng cường nắm, quản lý những người nghiện ma túy, thường xuyên trao đổi cung cấp</w:t>
      </w:r>
      <w:r w:rsidR="00AD5C07">
        <w:t xml:space="preserve"> </w:t>
      </w:r>
      <w:r w:rsidR="00125A8E">
        <w:t>thông tin cho cơ quan Công an, tham gia tích cực công tác quản lý cai nghiện và quản lý sau cai tại địa bàn.</w:t>
      </w:r>
    </w:p>
    <w:p w:rsidR="00125A8E" w:rsidRDefault="00125A8E" w:rsidP="001763F4">
      <w:pPr>
        <w:spacing w:after="0" w:line="240" w:lineRule="auto"/>
        <w:ind w:firstLine="720"/>
        <w:jc w:val="both"/>
      </w:pPr>
      <w:r>
        <w:t>Phối hợp chặt chẽ với cơ quan phòng chống tệ nạn xã hội và các đoàn thể tại địa phương tham gia thực hiện có hiệu quả Đề án đổi mới công tác cai nghiện; xây dựng các mô hình tư vấn, chăm sóc, hỗ trợ người điều trị nghiện ma túy và mô hình phân công hội viên quản lý giúp đỡ người nghiện sau cai. Hưởng ứng và tuyên truyền vận động nhân rộng mô hình cai nghiện bằng thuốc đông y do Việt Nam sản xuất.</w:t>
      </w:r>
    </w:p>
    <w:p w:rsidR="00770209" w:rsidRDefault="00125A8E" w:rsidP="001763F4">
      <w:pPr>
        <w:spacing w:after="0" w:line="240" w:lineRule="auto"/>
        <w:ind w:firstLine="720"/>
        <w:jc w:val="both"/>
      </w:pPr>
      <w:r>
        <w:t xml:space="preserve">Tham gia có hiệu quả trong thực hiện Quyết định số 909/QĐ-LĐTBXH ngày 13/7/2018 </w:t>
      </w:r>
      <w:r w:rsidR="00AD5C07">
        <w:t>c</w:t>
      </w:r>
      <w:r>
        <w:t xml:space="preserve">ủa Bộ trưởng Bộ Lao động TBXH thực hiện Đề án phối hợp truyền thông phòng chống HIV/AIDS và phòng chống tệ nạn ma túy, mại dâm. </w:t>
      </w:r>
    </w:p>
    <w:p w:rsidR="00125A8E" w:rsidRDefault="00770209" w:rsidP="001763F4">
      <w:pPr>
        <w:spacing w:after="0" w:line="240" w:lineRule="auto"/>
        <w:ind w:firstLine="720"/>
        <w:jc w:val="both"/>
      </w:pPr>
      <w:r>
        <w:t xml:space="preserve">Tích cực triển khai </w:t>
      </w:r>
      <w:r w:rsidR="00125A8E">
        <w:t xml:space="preserve">các mô hình, điển hình trong phòng, chống ma túy, các mô hình quản lý sau cai, phát huy trách nhiệm trước cộng đồng thực hiện tốt kế hoạch của địa phương phân công tham gia các hoạt động tuyên truyền, quản lý </w:t>
      </w:r>
      <w:r w:rsidR="00125A8E">
        <w:lastRenderedPageBreak/>
        <w:t>giáo dục những người sau cai được Luật phòng chống ma túy quy định có hiệu lực từ ngày 01/01/2022.</w:t>
      </w:r>
    </w:p>
    <w:p w:rsidR="00125A8E" w:rsidRPr="00AD5C07" w:rsidRDefault="00125A8E" w:rsidP="001763F4">
      <w:pPr>
        <w:spacing w:after="0" w:line="240" w:lineRule="auto"/>
        <w:ind w:firstLine="720"/>
        <w:jc w:val="both"/>
        <w:rPr>
          <w:b/>
        </w:rPr>
      </w:pPr>
      <w:r w:rsidRPr="00AD5C07">
        <w:rPr>
          <w:b/>
        </w:rPr>
        <w:t>4. Công tác phòng, chống HIV/AIDS</w:t>
      </w:r>
    </w:p>
    <w:p w:rsidR="00125A8E" w:rsidRDefault="00125A8E" w:rsidP="001763F4">
      <w:pPr>
        <w:spacing w:after="0" w:line="240" w:lineRule="auto"/>
        <w:ind w:firstLine="720"/>
        <w:jc w:val="both"/>
      </w:pPr>
      <w:r>
        <w:t>Tăng cường công tác phổ biến tuyên truyền Luật sửa đổi bổ sung một số điều của Luật phòng, chống nhiễm vi rút gây ra hội chứng suy giảm miễn dịch mắc phải ở người (HIV/AIDS) số: 71/2020/QH14 ngày 16/11/2020. Ngày 30/6/2021 Chính phủ ban hành Nghị định số: 63/2021/NĐ-CP quy định chi tiết thi hành luật sửa đổi, bổ sung một số điều của Luật Phòng, chống nhiễm vi rút gây ra hội chứng suy giảm miễn dịch ở người.</w:t>
      </w:r>
    </w:p>
    <w:p w:rsidR="00125A8E" w:rsidRDefault="00125A8E" w:rsidP="001763F4">
      <w:pPr>
        <w:spacing w:after="0" w:line="240" w:lineRule="auto"/>
        <w:ind w:firstLine="720"/>
        <w:jc w:val="both"/>
      </w:pPr>
      <w:r>
        <w:t>Phát huy tốt các tổ tự quản của CCB, tích cực nắm, động viên những người trong nhóm có nguy cơ cao đi xét nghiệm và điều trị, tuyên truyền cộng đồng dân cư không phân biệt đối xử và kỳ thị với những người có HIV/AIDS, tạo điều kiện cho họ được điều trị và tái hòa nhập cộng đồng.</w:t>
      </w:r>
    </w:p>
    <w:p w:rsidR="00125A8E" w:rsidRPr="00AD5C07" w:rsidRDefault="00125A8E" w:rsidP="001763F4">
      <w:pPr>
        <w:spacing w:after="0" w:line="240" w:lineRule="auto"/>
        <w:ind w:firstLine="720"/>
        <w:jc w:val="both"/>
        <w:rPr>
          <w:b/>
        </w:rPr>
      </w:pPr>
      <w:r w:rsidRPr="00AD5C07">
        <w:rPr>
          <w:b/>
        </w:rPr>
        <w:t>5. Thực hiện Phong trào bảo vệ an ninh, Tổ quốc</w:t>
      </w:r>
    </w:p>
    <w:p w:rsidR="00125A8E" w:rsidRDefault="00125A8E" w:rsidP="001763F4">
      <w:pPr>
        <w:spacing w:after="0" w:line="240" w:lineRule="auto"/>
        <w:ind w:firstLine="720"/>
        <w:jc w:val="both"/>
      </w:pPr>
      <w:r>
        <w:t xml:space="preserve">Tiếp tục phối hợp tổ chức thực hiện Chỉ thị số 09-CT/TW ngày 01/12/2011 của Ban Bí thư Trung ương Đảng về “Tăng cường sự lãnh đạo của Đảng đối với phong trào toàn dân bảo vệ an ninh Tổ quốc trong tình hình mới”; các </w:t>
      </w:r>
      <w:r w:rsidR="009F65DE">
        <w:t>huyện, thị</w:t>
      </w:r>
      <w:r>
        <w:t xml:space="preserve">, thành </w:t>
      </w:r>
      <w:r w:rsidR="009F65DE">
        <w:t xml:space="preserve">Hội </w:t>
      </w:r>
      <w:r>
        <w:t xml:space="preserve">cùng MTTQ </w:t>
      </w:r>
      <w:r w:rsidR="009F65DE">
        <w:t xml:space="preserve">cùng cấp </w:t>
      </w:r>
      <w:r>
        <w:t>triển khai thực hiện Chương trình phối hợp số: 07/CTr-BCA- MTT</w:t>
      </w:r>
      <w:r w:rsidR="009F65DE">
        <w:t>Q</w:t>
      </w:r>
      <w:r>
        <w:t xml:space="preserve"> ngày 17/10/2023 giữa MTTQVN và các tổ chức thành viên với Bộ Công an về “Đẩy mạnh phong trào toàn dân bảo vệ ANTQ trong tình hình mới</w:t>
      </w:r>
      <w:r w:rsidR="009F65DE">
        <w:t>”.</w:t>
      </w:r>
      <w:r>
        <w:t xml:space="preserve"> </w:t>
      </w:r>
      <w:r w:rsidR="009F65DE">
        <w:t>(</w:t>
      </w:r>
      <w:r>
        <w:t>Ban chỉ đạo</w:t>
      </w:r>
      <w:r w:rsidR="009F65DE">
        <w:t xml:space="preserve"> </w:t>
      </w:r>
      <w:r>
        <w:t xml:space="preserve">Trung ương </w:t>
      </w:r>
      <w:r w:rsidR="009F65DE">
        <w:t xml:space="preserve">Hội </w:t>
      </w:r>
      <w:r>
        <w:t>sẽ có hướng dẫn xây dựng Chương trình hành động triển khai thực hiện cụ thể</w:t>
      </w:r>
      <w:r w:rsidR="009F65DE">
        <w:t>)</w:t>
      </w:r>
      <w:r>
        <w:t>.</w:t>
      </w:r>
    </w:p>
    <w:p w:rsidR="00125A8E" w:rsidRDefault="00125A8E" w:rsidP="001763F4">
      <w:pPr>
        <w:spacing w:after="0" w:line="240" w:lineRule="auto"/>
        <w:ind w:firstLine="720"/>
        <w:jc w:val="both"/>
      </w:pPr>
      <w:r>
        <w:t>Phối hợp với các cơ quan chức năng tham gia tổ chức các hoạt động hưởng ứng ngày “Hội quốc phòng toàn dân (22/12) và ngày “Hội toàn dân bảo vệ an ninh Tổ quốc” (19/8).</w:t>
      </w:r>
    </w:p>
    <w:p w:rsidR="00125A8E" w:rsidRDefault="00125A8E" w:rsidP="001763F4">
      <w:pPr>
        <w:spacing w:after="0" w:line="240" w:lineRule="auto"/>
        <w:ind w:firstLine="720"/>
        <w:jc w:val="both"/>
      </w:pPr>
      <w:r>
        <w:t>Khi có hiện tượng ANTT tại địa bàn nổi cộm các cấp Hội cần tăng cường công</w:t>
      </w:r>
      <w:r w:rsidR="009F65DE">
        <w:t xml:space="preserve"> </w:t>
      </w:r>
      <w:r>
        <w:t xml:space="preserve">tác quản lý nắm chắc tình hình hội viên và </w:t>
      </w:r>
      <w:r w:rsidR="009F65DE">
        <w:t xml:space="preserve">Nhân </w:t>
      </w:r>
      <w:r>
        <w:t xml:space="preserve">dân; chủ động tham mưu đề </w:t>
      </w:r>
      <w:r w:rsidR="009F65DE">
        <w:t>x</w:t>
      </w:r>
      <w:r>
        <w:t>uất với cấp ủy, chính quyền những nội dung, biện pháp giải quyết ổn định tình hình, không để các phần tử lợi dụng kích động lôi kéo hội viên và nhân dân làm cho t</w:t>
      </w:r>
      <w:r w:rsidR="009F65DE">
        <w:t>ì</w:t>
      </w:r>
      <w:r>
        <w:t>nh hình ngày một phức tạp thêm.</w:t>
      </w:r>
    </w:p>
    <w:p w:rsidR="00125A8E" w:rsidRDefault="009F65DE" w:rsidP="001763F4">
      <w:pPr>
        <w:spacing w:after="0" w:line="240" w:lineRule="auto"/>
        <w:ind w:firstLine="720"/>
        <w:jc w:val="both"/>
      </w:pPr>
      <w:r>
        <w:t>Các huyện, thị</w:t>
      </w:r>
      <w:r w:rsidR="00125A8E">
        <w:t>, thành Hội viết bài tuyên truyền về các gương điển hình tốt, mô hình hay, gương dũng cảm trong thực hiện phong trào BVANTQ, phòng chống tội phạm, phòng, chống ma túy và mua bán người, các tệ nạn xã hội.</w:t>
      </w:r>
    </w:p>
    <w:p w:rsidR="00125A8E" w:rsidRDefault="00125A8E" w:rsidP="001763F4">
      <w:pPr>
        <w:spacing w:after="0" w:line="240" w:lineRule="auto"/>
        <w:ind w:firstLine="720"/>
        <w:jc w:val="both"/>
      </w:pPr>
      <w:r>
        <w:t>Bài gửi về</w:t>
      </w:r>
      <w:r w:rsidR="009F65DE">
        <w:t xml:space="preserve"> Ban Tuyên giáo/</w:t>
      </w:r>
      <w:r>
        <w:t>Hội CCB</w:t>
      </w:r>
      <w:r w:rsidR="009F65DE">
        <w:t xml:space="preserve"> tỉnh</w:t>
      </w:r>
      <w:r>
        <w:t xml:space="preserve"> hoặc qua địa chỉ email: </w:t>
      </w:r>
      <w:r w:rsidR="009F65DE">
        <w:t>tayho7580</w:t>
      </w:r>
      <w:r>
        <w:t xml:space="preserve">@gmail.com, </w:t>
      </w:r>
      <w:r w:rsidR="009F65DE">
        <w:t>hoặc</w:t>
      </w:r>
      <w:r>
        <w:t xml:space="preserve"> email: </w:t>
      </w:r>
      <w:r w:rsidR="009F65DE">
        <w:t>vantriqnam</w:t>
      </w:r>
      <w:r>
        <w:t>@gmail.com, nội dung yêu cầu ngắn gọn nêu bật được vấn đề, độ dài nhất không quá một trang giấy khổ A4.</w:t>
      </w:r>
    </w:p>
    <w:p w:rsidR="00125A8E" w:rsidRPr="009F65DE" w:rsidRDefault="00125A8E" w:rsidP="001763F4">
      <w:pPr>
        <w:spacing w:after="0" w:line="240" w:lineRule="auto"/>
        <w:ind w:firstLine="720"/>
        <w:jc w:val="both"/>
        <w:rPr>
          <w:b/>
        </w:rPr>
      </w:pPr>
      <w:r w:rsidRPr="009F65DE">
        <w:rPr>
          <w:b/>
        </w:rPr>
        <w:t>6. Công tác tập huấn, kiểm tra.</w:t>
      </w:r>
    </w:p>
    <w:p w:rsidR="00125A8E" w:rsidRDefault="00125A8E" w:rsidP="001763F4">
      <w:pPr>
        <w:spacing w:after="0" w:line="240" w:lineRule="auto"/>
        <w:ind w:firstLine="720"/>
        <w:jc w:val="both"/>
      </w:pPr>
      <w:r>
        <w:t xml:space="preserve">Các </w:t>
      </w:r>
      <w:r w:rsidR="009F65DE">
        <w:t>huyện</w:t>
      </w:r>
      <w:r>
        <w:t xml:space="preserve">, </w:t>
      </w:r>
      <w:r w:rsidR="009F65DE">
        <w:t xml:space="preserve">thị, </w:t>
      </w:r>
      <w:r>
        <w:t>thành Hội chủ động phối hợp với cơ quan Công an cùng cấp, xây dựng nội dung, kế hoạch tổ chức tập huấ</w:t>
      </w:r>
      <w:r w:rsidR="00770209">
        <w:t xml:space="preserve">n </w:t>
      </w:r>
      <w:r>
        <w:t xml:space="preserve">nhằm nâng cao trình độ mọi mặt cho cán bộ Hội các cấp và Hội viên, tham gia </w:t>
      </w:r>
      <w:r w:rsidR="009F65DE">
        <w:t>và phục vụ</w:t>
      </w:r>
      <w:r>
        <w:t xml:space="preserve"> các đoàn kiểm tra do </w:t>
      </w:r>
      <w:r w:rsidR="009F65DE">
        <w:t xml:space="preserve">cấp trên </w:t>
      </w:r>
      <w:r>
        <w:t>tổ chức.</w:t>
      </w:r>
    </w:p>
    <w:p w:rsidR="00125A8E" w:rsidRDefault="00125A8E" w:rsidP="001763F4">
      <w:pPr>
        <w:spacing w:after="0" w:line="240" w:lineRule="auto"/>
        <w:ind w:firstLine="720"/>
        <w:jc w:val="both"/>
      </w:pPr>
      <w:r>
        <w:t>Năm 2024 Thường trực Trung ương hội lồng ghép tổ chức tập huấn công tác</w:t>
      </w:r>
    </w:p>
    <w:p w:rsidR="00125A8E" w:rsidRDefault="00125A8E" w:rsidP="001763F4">
      <w:pPr>
        <w:spacing w:after="0" w:line="240" w:lineRule="auto"/>
        <w:jc w:val="both"/>
      </w:pPr>
      <w:r>
        <w:t>phòng, chống tội phạm, ma túy, mại dâm tại tỉnh Hội Đồng Tháp (dự kiến đầu quý</w:t>
      </w:r>
    </w:p>
    <w:p w:rsidR="009F65DE" w:rsidRDefault="00125A8E" w:rsidP="001763F4">
      <w:pPr>
        <w:spacing w:after="0" w:line="240" w:lineRule="auto"/>
        <w:jc w:val="both"/>
      </w:pPr>
      <w:r>
        <w:t xml:space="preserve">III/2024); </w:t>
      </w:r>
    </w:p>
    <w:p w:rsidR="00125A8E" w:rsidRPr="009F65DE" w:rsidRDefault="00125A8E" w:rsidP="001763F4">
      <w:pPr>
        <w:spacing w:after="0" w:line="240" w:lineRule="auto"/>
        <w:ind w:firstLine="720"/>
        <w:jc w:val="both"/>
        <w:rPr>
          <w:b/>
        </w:rPr>
      </w:pPr>
      <w:r w:rsidRPr="009F65DE">
        <w:rPr>
          <w:b/>
        </w:rPr>
        <w:t>7. Duy trì, phát huy và nhân rộng các mô hình, điển hình.</w:t>
      </w:r>
    </w:p>
    <w:p w:rsidR="00125A8E" w:rsidRPr="008D6223" w:rsidRDefault="00125A8E" w:rsidP="001763F4">
      <w:pPr>
        <w:spacing w:after="0" w:line="240" w:lineRule="auto"/>
        <w:ind w:firstLine="720"/>
        <w:jc w:val="both"/>
        <w:rPr>
          <w:spacing w:val="-4"/>
        </w:rPr>
      </w:pPr>
      <w:r w:rsidRPr="008D6223">
        <w:rPr>
          <w:spacing w:val="-4"/>
        </w:rPr>
        <w:lastRenderedPageBreak/>
        <w:t xml:space="preserve">Trên cơ sở các mô hình, điển hình hiện có, các </w:t>
      </w:r>
      <w:r w:rsidR="009F65DE" w:rsidRPr="008D6223">
        <w:rPr>
          <w:spacing w:val="-4"/>
        </w:rPr>
        <w:t>huyện, thị</w:t>
      </w:r>
      <w:r w:rsidRPr="008D6223">
        <w:rPr>
          <w:spacing w:val="-4"/>
        </w:rPr>
        <w:t xml:space="preserve">, thành </w:t>
      </w:r>
      <w:r w:rsidR="009F65DE" w:rsidRPr="008D6223">
        <w:rPr>
          <w:spacing w:val="-4"/>
        </w:rPr>
        <w:t xml:space="preserve">Hội </w:t>
      </w:r>
      <w:r w:rsidRPr="008D6223">
        <w:rPr>
          <w:spacing w:val="-4"/>
        </w:rPr>
        <w:t>xây dựng kế hoạch tổ chức rút kinh nghiệm, đánh giá hiệu quả, biểu dương khen thưởng các mô hình hay,</w:t>
      </w:r>
      <w:r w:rsidR="009F65DE" w:rsidRPr="008D6223">
        <w:rPr>
          <w:spacing w:val="-4"/>
        </w:rPr>
        <w:t xml:space="preserve"> </w:t>
      </w:r>
      <w:r w:rsidRPr="008D6223">
        <w:rPr>
          <w:spacing w:val="-4"/>
        </w:rPr>
        <w:t xml:space="preserve">điển hình tốt. Các mô hình có hiệu quả cao; sức lan tỏa lớn cần nhân rộng </w:t>
      </w:r>
      <w:r w:rsidR="009F65DE" w:rsidRPr="008D6223">
        <w:rPr>
          <w:spacing w:val="-4"/>
        </w:rPr>
        <w:t>trên</w:t>
      </w:r>
      <w:r w:rsidRPr="008D6223">
        <w:rPr>
          <w:spacing w:val="-4"/>
        </w:rPr>
        <w:t xml:space="preserve"> địa bàn và phải có sự chăm lo về mọi mặt để mô hình, điển hình hoạt động thường xuyên và phát huy có hiệu quả trong công tác PCTP, mua bán người, ma túy và tệ nạn xã hội góp phần thiết thực vào nhiệm vụ giữ vững sự ổn định về ANCT- TTATXH, tạo tiền đề cho phát triển kinh tế xã hội ở từng địa phương.</w:t>
      </w:r>
    </w:p>
    <w:p w:rsidR="00125A8E" w:rsidRPr="009F65DE" w:rsidRDefault="00125A8E" w:rsidP="001763F4">
      <w:pPr>
        <w:spacing w:after="0" w:line="240" w:lineRule="auto"/>
        <w:ind w:firstLine="720"/>
        <w:jc w:val="both"/>
        <w:rPr>
          <w:b/>
        </w:rPr>
      </w:pPr>
      <w:r w:rsidRPr="009F65DE">
        <w:rPr>
          <w:b/>
        </w:rPr>
        <w:t>8. Chế độ báo cáo.</w:t>
      </w:r>
    </w:p>
    <w:p w:rsidR="006C0668" w:rsidRDefault="00125A8E" w:rsidP="001763F4">
      <w:pPr>
        <w:spacing w:after="0" w:line="240" w:lineRule="auto"/>
        <w:ind w:firstLine="720"/>
        <w:jc w:val="both"/>
      </w:pPr>
      <w:r>
        <w:t xml:space="preserve">Để cơ quan thuận lợi trong việc lưu giữ và tổng hợp báo cáo của các </w:t>
      </w:r>
      <w:r w:rsidR="009F65DE">
        <w:t>huyện, thị</w:t>
      </w:r>
      <w:r>
        <w:t>, thành</w:t>
      </w:r>
      <w:r w:rsidR="009F65DE">
        <w:t xml:space="preserve"> Hội</w:t>
      </w:r>
      <w:r>
        <w:t xml:space="preserve">. Đề nghị các </w:t>
      </w:r>
      <w:r w:rsidR="001763F4">
        <w:t>đơn vị</w:t>
      </w:r>
      <w:r>
        <w:t xml:space="preserve"> báo cáo quý, 6 tháng, </w:t>
      </w:r>
      <w:r w:rsidR="006C0668">
        <w:t>quý 3</w:t>
      </w:r>
      <w:r>
        <w:t xml:space="preserve"> và báo cáo năm và các loại báo cáo khác (nếu có) gửi trực tiếp vào địa chỉ email : </w:t>
      </w:r>
      <w:r w:rsidR="001763F4">
        <w:t>tayho7580</w:t>
      </w:r>
      <w:r>
        <w:t>@gmail.com, riêng bảo cáo năm gửi kèm văn bản gốc. Chú ý khi gửi báo cáo qua email phải vào số, ngày tháng và người ký ch</w:t>
      </w:r>
      <w:r w:rsidR="001763F4">
        <w:t>ị</w:t>
      </w:r>
      <w:r>
        <w:t xml:space="preserve">u trách nhiệm để cơ quan lưu văn bản trùng khớp với văn bản mà các </w:t>
      </w:r>
      <w:r w:rsidR="001763F4">
        <w:t>huyện</w:t>
      </w:r>
      <w:r>
        <w:t xml:space="preserve">, </w:t>
      </w:r>
      <w:r w:rsidR="001763F4">
        <w:t xml:space="preserve">thị, </w:t>
      </w:r>
      <w:r>
        <w:t>thành</w:t>
      </w:r>
      <w:r w:rsidR="001763F4">
        <w:t xml:space="preserve"> Hội</w:t>
      </w:r>
      <w:r>
        <w:t xml:space="preserve"> lưu, thờ</w:t>
      </w:r>
      <w:r w:rsidR="00770209">
        <w:t>i gian báo cáo quý, 6 tháng</w:t>
      </w:r>
      <w:r>
        <w:t xml:space="preserve"> và năm </w:t>
      </w:r>
      <w:r w:rsidR="001763F4">
        <w:t>trước ngày 20 của tháng cuối quý</w:t>
      </w:r>
      <w:r>
        <w:t>.</w:t>
      </w:r>
    </w:p>
    <w:p w:rsidR="00125A8E" w:rsidRPr="006C0668" w:rsidRDefault="006C0668" w:rsidP="001763F4">
      <w:pPr>
        <w:spacing w:after="0" w:line="240" w:lineRule="auto"/>
        <w:ind w:firstLine="720"/>
        <w:jc w:val="both"/>
      </w:pPr>
      <w:r>
        <w:t xml:space="preserve">Trên đây là hướng dẫn công tác </w:t>
      </w:r>
      <w:r w:rsidRPr="006C0668">
        <w:t>Công tác phòng, chống tội phạm; mua bán người; ma túy mại dâm; HIV/AIDS &amp; thực hiện phong trào toàn dân Bảo vệ ANTQ năm 2024</w:t>
      </w:r>
      <w:r>
        <w:t>. Đề nghị các đơn vị triển khai thực hiện.</w:t>
      </w:r>
      <w:r w:rsidR="00125A8E" w:rsidRPr="006C0668">
        <w:t>/.</w:t>
      </w:r>
    </w:p>
    <w:p w:rsidR="001763F4" w:rsidRDefault="001763F4" w:rsidP="001763F4">
      <w:pPr>
        <w:spacing w:after="0" w:line="240" w:lineRule="auto"/>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271"/>
      </w:tblGrid>
      <w:tr w:rsidR="001763F4" w:rsidTr="008E5229">
        <w:trPr>
          <w:jc w:val="center"/>
        </w:trPr>
        <w:tc>
          <w:tcPr>
            <w:tcW w:w="4768" w:type="dxa"/>
          </w:tcPr>
          <w:p w:rsidR="001763F4" w:rsidRDefault="001763F4" w:rsidP="001763F4">
            <w:pPr>
              <w:ind w:left="-124"/>
              <w:jc w:val="both"/>
              <w:rPr>
                <w:rFonts w:cs="Times New Roman"/>
                <w:szCs w:val="28"/>
              </w:rPr>
            </w:pPr>
            <w:r w:rsidRPr="005E3B7C">
              <w:rPr>
                <w:rFonts w:cs="Times New Roman"/>
                <w:b/>
                <w:i/>
                <w:sz w:val="24"/>
                <w:szCs w:val="24"/>
              </w:rPr>
              <w:t>Nơi nh</w:t>
            </w:r>
            <w:r>
              <w:rPr>
                <w:rFonts w:cs="Times New Roman"/>
                <w:b/>
                <w:i/>
                <w:sz w:val="24"/>
                <w:szCs w:val="24"/>
              </w:rPr>
              <w:t>ận</w:t>
            </w:r>
            <w:r w:rsidRPr="005E3B7C">
              <w:rPr>
                <w:rFonts w:cs="Times New Roman"/>
                <w:b/>
                <w:i/>
                <w:sz w:val="24"/>
                <w:szCs w:val="24"/>
              </w:rPr>
              <w:t>:</w:t>
            </w:r>
            <w:r w:rsidRPr="005E3B7C">
              <w:rPr>
                <w:rFonts w:cs="Times New Roman"/>
                <w:szCs w:val="28"/>
              </w:rPr>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p>
          <w:p w:rsidR="001763F4" w:rsidRDefault="001763F4" w:rsidP="001763F4">
            <w:pPr>
              <w:ind w:left="-124"/>
              <w:jc w:val="both"/>
              <w:rPr>
                <w:rFonts w:cs="Times New Roman"/>
                <w:sz w:val="22"/>
              </w:rPr>
            </w:pPr>
            <w:r w:rsidRPr="00DC4815">
              <w:rPr>
                <w:rFonts w:cs="Times New Roman"/>
                <w:sz w:val="22"/>
              </w:rPr>
              <w:t xml:space="preserve">- Ban </w:t>
            </w:r>
            <w:r>
              <w:rPr>
                <w:rFonts w:cs="Times New Roman"/>
                <w:sz w:val="22"/>
              </w:rPr>
              <w:t>PL</w:t>
            </w:r>
            <w:r w:rsidRPr="00DC4815">
              <w:rPr>
                <w:rFonts w:cs="Times New Roman"/>
                <w:sz w:val="22"/>
              </w:rPr>
              <w:t xml:space="preserve"> T</w:t>
            </w:r>
            <w:r>
              <w:rPr>
                <w:rFonts w:cs="Times New Roman"/>
                <w:sz w:val="22"/>
              </w:rPr>
              <w:t>Ư</w:t>
            </w:r>
            <w:r w:rsidRPr="00DC4815">
              <w:rPr>
                <w:rFonts w:cs="Times New Roman"/>
                <w:sz w:val="22"/>
              </w:rPr>
              <w:t xml:space="preserve"> Hội CCB VN (b</w:t>
            </w:r>
            <w:r>
              <w:rPr>
                <w:rFonts w:cs="Times New Roman"/>
                <w:sz w:val="22"/>
              </w:rPr>
              <w:t>/</w:t>
            </w:r>
            <w:r w:rsidRPr="00DC4815">
              <w:rPr>
                <w:rFonts w:cs="Times New Roman"/>
                <w:sz w:val="22"/>
              </w:rPr>
              <w:t xml:space="preserve">cáo);                   </w:t>
            </w:r>
          </w:p>
          <w:p w:rsidR="001763F4" w:rsidRPr="001763F4" w:rsidRDefault="001763F4" w:rsidP="001763F4">
            <w:pPr>
              <w:ind w:left="-124"/>
              <w:jc w:val="both"/>
              <w:rPr>
                <w:rFonts w:cs="Times New Roman"/>
                <w:sz w:val="22"/>
              </w:rPr>
            </w:pPr>
            <w:r w:rsidRPr="001763F4">
              <w:rPr>
                <w:sz w:val="22"/>
              </w:rPr>
              <w:t>- Thường trực BCĐ 138/ tỉnh;</w:t>
            </w:r>
          </w:p>
          <w:p w:rsidR="001763F4" w:rsidRPr="001763F4" w:rsidRDefault="001763F4" w:rsidP="001763F4">
            <w:pPr>
              <w:ind w:left="-124"/>
              <w:jc w:val="both"/>
              <w:rPr>
                <w:rFonts w:cs="Times New Roman"/>
                <w:sz w:val="22"/>
              </w:rPr>
            </w:pPr>
            <w:r w:rsidRPr="001763F4">
              <w:rPr>
                <w:sz w:val="22"/>
              </w:rPr>
              <w:t>- Ban Phong trào MTTQ VN</w:t>
            </w:r>
            <w:r>
              <w:rPr>
                <w:sz w:val="22"/>
              </w:rPr>
              <w:t xml:space="preserve"> tỉnh</w:t>
            </w:r>
            <w:r w:rsidRPr="001763F4">
              <w:rPr>
                <w:sz w:val="22"/>
              </w:rPr>
              <w:t>;</w:t>
            </w:r>
          </w:p>
          <w:p w:rsidR="001763F4" w:rsidRPr="00DC4815" w:rsidRDefault="001763F4" w:rsidP="001763F4">
            <w:pPr>
              <w:ind w:left="-124"/>
              <w:jc w:val="both"/>
              <w:rPr>
                <w:rFonts w:cs="Times New Roman"/>
                <w:sz w:val="22"/>
              </w:rPr>
            </w:pPr>
            <w:r w:rsidRPr="00DC4815">
              <w:rPr>
                <w:rFonts w:cs="Times New Roman"/>
                <w:sz w:val="22"/>
              </w:rPr>
              <w:t xml:space="preserve">- Thường trực Hội CCB tỉnh (để chỉ đạo); </w:t>
            </w:r>
          </w:p>
          <w:p w:rsidR="001763F4" w:rsidRPr="00DC4815" w:rsidRDefault="001763F4" w:rsidP="001763F4">
            <w:pPr>
              <w:ind w:left="-124"/>
              <w:jc w:val="both"/>
              <w:rPr>
                <w:rFonts w:cs="Times New Roman"/>
                <w:sz w:val="22"/>
              </w:rPr>
            </w:pPr>
            <w:r w:rsidRPr="00DC4815">
              <w:rPr>
                <w:rFonts w:cs="Times New Roman"/>
                <w:sz w:val="22"/>
              </w:rPr>
              <w:t>- Hội CCB các huyện, thị</w:t>
            </w:r>
            <w:r>
              <w:rPr>
                <w:rFonts w:cs="Times New Roman"/>
                <w:sz w:val="22"/>
              </w:rPr>
              <w:t xml:space="preserve"> xã</w:t>
            </w:r>
            <w:r w:rsidRPr="00DC4815">
              <w:rPr>
                <w:rFonts w:cs="Times New Roman"/>
                <w:sz w:val="22"/>
              </w:rPr>
              <w:t>, thành</w:t>
            </w:r>
            <w:r>
              <w:rPr>
                <w:rFonts w:cs="Times New Roman"/>
                <w:sz w:val="22"/>
              </w:rPr>
              <w:t xml:space="preserve"> phố </w:t>
            </w:r>
            <w:r w:rsidRPr="00DC4815">
              <w:rPr>
                <w:rFonts w:cs="Times New Roman"/>
                <w:sz w:val="22"/>
              </w:rPr>
              <w:t xml:space="preserve">(thực hiện);                                     </w:t>
            </w:r>
          </w:p>
          <w:p w:rsidR="001763F4" w:rsidRPr="00DC4815" w:rsidRDefault="001763F4" w:rsidP="001763F4">
            <w:pPr>
              <w:ind w:left="-124"/>
              <w:jc w:val="both"/>
              <w:rPr>
                <w:rFonts w:cs="Times New Roman"/>
                <w:sz w:val="22"/>
              </w:rPr>
            </w:pPr>
            <w:r w:rsidRPr="00DC4815">
              <w:rPr>
                <w:rFonts w:cs="Times New Roman"/>
                <w:sz w:val="22"/>
              </w:rPr>
              <w:t>- Các Ban cơ quan Hội CCB tỉnh;</w:t>
            </w:r>
          </w:p>
          <w:p w:rsidR="001763F4" w:rsidRPr="00DC4815" w:rsidRDefault="001763F4" w:rsidP="001763F4">
            <w:pPr>
              <w:ind w:left="-124"/>
              <w:jc w:val="both"/>
              <w:rPr>
                <w:rFonts w:cs="Times New Roman"/>
                <w:sz w:val="22"/>
              </w:rPr>
            </w:pPr>
            <w:r w:rsidRPr="00DC4815">
              <w:rPr>
                <w:rFonts w:cs="Times New Roman"/>
                <w:sz w:val="22"/>
              </w:rPr>
              <w:t>- Lưu: VT, TG. Cg30b.</w:t>
            </w:r>
          </w:p>
          <w:p w:rsidR="001763F4" w:rsidRDefault="001763F4" w:rsidP="001763F4">
            <w:pPr>
              <w:jc w:val="both"/>
              <w:rPr>
                <w:rFonts w:cs="Times New Roman"/>
                <w:b/>
                <w:i/>
                <w:sz w:val="14"/>
                <w:szCs w:val="24"/>
              </w:rPr>
            </w:pPr>
          </w:p>
        </w:tc>
        <w:tc>
          <w:tcPr>
            <w:tcW w:w="4271" w:type="dxa"/>
          </w:tcPr>
          <w:p w:rsidR="001763F4" w:rsidRDefault="001763F4" w:rsidP="001763F4">
            <w:pPr>
              <w:jc w:val="center"/>
              <w:rPr>
                <w:rFonts w:cs="Times New Roman"/>
                <w:b/>
                <w:szCs w:val="28"/>
              </w:rPr>
            </w:pPr>
            <w:r w:rsidRPr="005E3B7C">
              <w:rPr>
                <w:rFonts w:cs="Times New Roman"/>
                <w:b/>
                <w:szCs w:val="28"/>
              </w:rPr>
              <w:t>KT. CHỦ TỊCH</w:t>
            </w:r>
          </w:p>
          <w:p w:rsidR="001763F4" w:rsidRPr="001763F4" w:rsidRDefault="001763F4" w:rsidP="001763F4">
            <w:pPr>
              <w:jc w:val="center"/>
              <w:rPr>
                <w:rFonts w:cs="Times New Roman"/>
                <w:b/>
                <w:szCs w:val="28"/>
              </w:rPr>
            </w:pPr>
            <w:r w:rsidRPr="001763F4">
              <w:rPr>
                <w:rFonts w:cs="Times New Roman"/>
                <w:b/>
                <w:szCs w:val="28"/>
              </w:rPr>
              <w:t>PHÓ CHỦ TỊCH</w:t>
            </w:r>
          </w:p>
          <w:p w:rsidR="001763F4" w:rsidRDefault="001763F4" w:rsidP="001763F4">
            <w:pPr>
              <w:jc w:val="center"/>
              <w:rPr>
                <w:rFonts w:cs="Times New Roman"/>
                <w:szCs w:val="28"/>
              </w:rPr>
            </w:pPr>
          </w:p>
          <w:p w:rsidR="001763F4" w:rsidRDefault="001763F4" w:rsidP="001763F4">
            <w:pPr>
              <w:jc w:val="center"/>
              <w:rPr>
                <w:rFonts w:cs="Times New Roman"/>
                <w:szCs w:val="28"/>
              </w:rPr>
            </w:pPr>
          </w:p>
          <w:p w:rsidR="001763F4" w:rsidRDefault="001763F4" w:rsidP="001763F4">
            <w:pPr>
              <w:jc w:val="center"/>
              <w:rPr>
                <w:rFonts w:cs="Times New Roman"/>
                <w:szCs w:val="28"/>
              </w:rPr>
            </w:pPr>
          </w:p>
          <w:p w:rsidR="001763F4" w:rsidRDefault="001763F4" w:rsidP="001763F4">
            <w:pPr>
              <w:jc w:val="center"/>
              <w:rPr>
                <w:rFonts w:cs="Times New Roman"/>
                <w:szCs w:val="28"/>
              </w:rPr>
            </w:pPr>
          </w:p>
          <w:p w:rsidR="001763F4" w:rsidRDefault="001763F4" w:rsidP="001763F4">
            <w:pPr>
              <w:jc w:val="center"/>
              <w:rPr>
                <w:rFonts w:cs="Times New Roman"/>
                <w:szCs w:val="28"/>
              </w:rPr>
            </w:pPr>
          </w:p>
          <w:p w:rsidR="001763F4" w:rsidRPr="005E3B7C" w:rsidRDefault="001763F4" w:rsidP="001763F4">
            <w:pPr>
              <w:jc w:val="center"/>
              <w:rPr>
                <w:rFonts w:cs="Times New Roman"/>
              </w:rPr>
            </w:pPr>
            <w:r w:rsidRPr="005E3B7C">
              <w:rPr>
                <w:rFonts w:cs="Times New Roman"/>
                <w:b/>
                <w:szCs w:val="28"/>
              </w:rPr>
              <w:t>Bùi Văn Trí</w:t>
            </w:r>
          </w:p>
          <w:p w:rsidR="001763F4" w:rsidRDefault="001763F4" w:rsidP="001763F4">
            <w:pPr>
              <w:jc w:val="center"/>
              <w:rPr>
                <w:rFonts w:cs="Times New Roman"/>
                <w:b/>
                <w:i/>
                <w:sz w:val="14"/>
                <w:szCs w:val="24"/>
              </w:rPr>
            </w:pPr>
          </w:p>
        </w:tc>
      </w:tr>
    </w:tbl>
    <w:p w:rsidR="001763F4" w:rsidRDefault="001763F4" w:rsidP="001763F4"/>
    <w:sectPr w:rsidR="001763F4" w:rsidSect="00A7707F">
      <w:footerReference w:type="default" r:id="rId7"/>
      <w:pgSz w:w="11907" w:h="16840" w:code="9"/>
      <w:pgMar w:top="1134" w:right="851"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27" w:rsidRDefault="00623D27" w:rsidP="00CE2130">
      <w:pPr>
        <w:spacing w:after="0" w:line="240" w:lineRule="auto"/>
      </w:pPr>
      <w:r>
        <w:separator/>
      </w:r>
    </w:p>
  </w:endnote>
  <w:endnote w:type="continuationSeparator" w:id="0">
    <w:p w:rsidR="00623D27" w:rsidRDefault="00623D27" w:rsidP="00CE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91957"/>
      <w:docPartObj>
        <w:docPartGallery w:val="Page Numbers (Bottom of Page)"/>
        <w:docPartUnique/>
      </w:docPartObj>
    </w:sdtPr>
    <w:sdtEndPr>
      <w:rPr>
        <w:noProof/>
        <w:sz w:val="24"/>
        <w:szCs w:val="24"/>
      </w:rPr>
    </w:sdtEndPr>
    <w:sdtContent>
      <w:p w:rsidR="001763F4" w:rsidRPr="001763F4" w:rsidRDefault="001763F4">
        <w:pPr>
          <w:pStyle w:val="Footer"/>
          <w:jc w:val="right"/>
          <w:rPr>
            <w:sz w:val="24"/>
            <w:szCs w:val="24"/>
          </w:rPr>
        </w:pPr>
        <w:r w:rsidRPr="001763F4">
          <w:rPr>
            <w:sz w:val="24"/>
            <w:szCs w:val="24"/>
          </w:rPr>
          <w:fldChar w:fldCharType="begin"/>
        </w:r>
        <w:r w:rsidRPr="001763F4">
          <w:rPr>
            <w:sz w:val="24"/>
            <w:szCs w:val="24"/>
          </w:rPr>
          <w:instrText xml:space="preserve"> PAGE   \* MERGEFORMAT </w:instrText>
        </w:r>
        <w:r w:rsidRPr="001763F4">
          <w:rPr>
            <w:sz w:val="24"/>
            <w:szCs w:val="24"/>
          </w:rPr>
          <w:fldChar w:fldCharType="separate"/>
        </w:r>
        <w:r w:rsidR="00261C0B">
          <w:rPr>
            <w:noProof/>
            <w:sz w:val="24"/>
            <w:szCs w:val="24"/>
          </w:rPr>
          <w:t>5</w:t>
        </w:r>
        <w:r w:rsidRPr="001763F4">
          <w:rPr>
            <w:noProof/>
            <w:sz w:val="24"/>
            <w:szCs w:val="24"/>
          </w:rPr>
          <w:fldChar w:fldCharType="end"/>
        </w:r>
      </w:p>
    </w:sdtContent>
  </w:sdt>
  <w:p w:rsidR="001763F4" w:rsidRDefault="0017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27" w:rsidRDefault="00623D27" w:rsidP="00CE2130">
      <w:pPr>
        <w:spacing w:after="0" w:line="240" w:lineRule="auto"/>
      </w:pPr>
      <w:r>
        <w:separator/>
      </w:r>
    </w:p>
  </w:footnote>
  <w:footnote w:type="continuationSeparator" w:id="0">
    <w:p w:rsidR="00623D27" w:rsidRDefault="00623D27" w:rsidP="00CE2130">
      <w:pPr>
        <w:spacing w:after="0" w:line="240" w:lineRule="auto"/>
      </w:pPr>
      <w:r>
        <w:continuationSeparator/>
      </w:r>
    </w:p>
  </w:footnote>
  <w:footnote w:id="1">
    <w:p w:rsidR="00CE2130" w:rsidRDefault="00CE2130" w:rsidP="008D6223">
      <w:pPr>
        <w:spacing w:after="0"/>
        <w:ind w:firstLine="720"/>
        <w:jc w:val="both"/>
      </w:pPr>
      <w:r w:rsidRPr="00BA22EC">
        <w:rPr>
          <w:rStyle w:val="FootnoteReference"/>
          <w:b/>
          <w:sz w:val="20"/>
          <w:szCs w:val="20"/>
        </w:rPr>
        <w:footnoteRef/>
      </w:r>
      <w:r w:rsidRPr="00BA22EC">
        <w:rPr>
          <w:b/>
          <w:sz w:val="20"/>
          <w:szCs w:val="20"/>
        </w:rPr>
        <w:t>.</w:t>
      </w:r>
      <w:r w:rsidRPr="00BA22EC">
        <w:rPr>
          <w:sz w:val="20"/>
          <w:szCs w:val="20"/>
        </w:rPr>
        <w:t xml:space="preserve"> Kết luận số: 13-KL/TW ngày 16/8/2021 của Bộ Chính trị (khóa XIII) tiếp tục đẩy mạnh thực hiện Chỉ thị 48/CT-TW ngày 22/10/2010 của Bộ chính trị (khóa X) về tăng cường sự lãnh đạo của Đảng đối với công tác phòng, chống tội phạm trong tình hình mới và chiến lược Quốc gia phòng, chống tội phạm giai đoạn 2021-2025; Chỉ thị số 46/CT-TW ngày 22/6/2015 của Bộ Chính trị (Khóa XI) về công tác đảm bảo an ninh trong tỉnh hình mới; Quy định 102-QĐ/TW ngày 15/11/2017 của Bộ Chính trị về </w:t>
      </w:r>
      <w:r w:rsidR="00BA22EC">
        <w:rPr>
          <w:sz w:val="20"/>
          <w:szCs w:val="20"/>
        </w:rPr>
        <w:t>x</w:t>
      </w:r>
      <w:r w:rsidRPr="00BA22EC">
        <w:rPr>
          <w:sz w:val="20"/>
          <w:szCs w:val="20"/>
        </w:rPr>
        <w:t>ử lý đảng viên vi phạm công tác phòng, chống tội phạm; Nghị quyết số: 96/2019/QH14 ngày 27/11/2019 của Quốc hội về công tác phòng chống tội phạm, vi phạm pháp luật; Quyết định số 623/QĐ-TTg ngày 14/4/2016 của Thủ tướng Chính phủ phê duyệt Chiến lược Quốc gia phòng chống tội phạm giai đoạn 2016-2025 định hướng đến năm 2030 và Công văn số: 1676/TTg-NC ngày 30/11/2020 của Thủ tướng Chính phủ về tăng cường các biện pháp phòng ngừa tội phạm giết người. Quyết</w:t>
      </w:r>
      <w:r w:rsidRPr="00CE2130">
        <w:rPr>
          <w:sz w:val="20"/>
          <w:szCs w:val="20"/>
        </w:rPr>
        <w:t xml:space="preserve"> định số</w:t>
      </w:r>
      <w:r w:rsidR="00BA22EC">
        <w:rPr>
          <w:sz w:val="20"/>
          <w:szCs w:val="20"/>
        </w:rPr>
        <w:t xml:space="preserve"> 193/QĐ-TTg ngày 09/02/2021 </w:t>
      </w:r>
      <w:r w:rsidRPr="00CE2130">
        <w:rPr>
          <w:sz w:val="20"/>
          <w:szCs w:val="20"/>
        </w:rPr>
        <w:t>của Thủ tướng Chính phủ phê duyệt Chương trình phòng, chống mua bán người giai đoạn 2021 - 2025 và định hướng đến năm 2030.</w:t>
      </w:r>
    </w:p>
  </w:footnote>
  <w:footnote w:id="2">
    <w:p w:rsidR="002A6C7E" w:rsidRPr="002A6C7E" w:rsidRDefault="002A6C7E" w:rsidP="002A6C7E">
      <w:pPr>
        <w:ind w:firstLine="720"/>
        <w:jc w:val="both"/>
        <w:rPr>
          <w:sz w:val="20"/>
          <w:szCs w:val="20"/>
        </w:rPr>
      </w:pPr>
      <w:r w:rsidRPr="00BA22EC">
        <w:rPr>
          <w:rStyle w:val="FootnoteReference"/>
          <w:b/>
          <w:sz w:val="20"/>
          <w:szCs w:val="20"/>
        </w:rPr>
        <w:footnoteRef/>
      </w:r>
      <w:r w:rsidRPr="00770209">
        <w:rPr>
          <w:sz w:val="20"/>
          <w:szCs w:val="20"/>
        </w:rPr>
        <w:t>.</w:t>
      </w:r>
      <w:r w:rsidRPr="002A6C7E">
        <w:rPr>
          <w:sz w:val="20"/>
          <w:szCs w:val="20"/>
        </w:rPr>
        <w:t xml:space="preserve"> Chỉ thị số 36-CT/TW ngày 16 tháng 8 năm 2019 của Bộ Chính trị và thực hiện Quyết định số 291/QĐ-TTg ngày 21/02/2020 của Thủ tướng Chính phủ về “tăng cường, nâng cao hiệu quả công tác phòng, chống và kiểm soát ma túy”; Quyết định số 1452/QĐ-TTg ngày 31/8/2021 của Thủ tướng Chính phủ phê duyệt Chương trình</w:t>
      </w:r>
      <w:r>
        <w:rPr>
          <w:sz w:val="20"/>
          <w:szCs w:val="20"/>
        </w:rPr>
        <w:t xml:space="preserve"> </w:t>
      </w:r>
      <w:r w:rsidRPr="002A6C7E">
        <w:rPr>
          <w:sz w:val="20"/>
          <w:szCs w:val="20"/>
        </w:rPr>
        <w:t>phòng, chống ma túy giai đoạn 2021-2025.</w:t>
      </w:r>
      <w:r>
        <w:rPr>
          <w:sz w:val="20"/>
          <w:szCs w:val="20"/>
        </w:rPr>
        <w:t xml:space="preserve"> </w:t>
      </w:r>
      <w:r w:rsidRPr="002A6C7E">
        <w:rPr>
          <w:sz w:val="20"/>
          <w:szCs w:val="20"/>
        </w:rPr>
        <w:t>Quyết định số 8014/QĐ-BCA-H01 ngày 14/12/2018 của Bộ Công an về phê duyệt Dự án “Nâng cao hiệu quả công tác phòng, chống ma túy tại xã, phường, thị trấn”. Luật phòng chống ma túy số : 73/2021/QH14 ngày 30/3/2021, Nghị định số: 116/2021/NĐ-CP ngày 21/12/2021 của Chính phủ về hướng dẫn thực hiện Luật Phòng, chống ma túy, sử lý vi phạm hành chính về cai nghiện ma túy và quản lý sau cai nghiện ma túy.</w:t>
      </w:r>
    </w:p>
    <w:p w:rsidR="002A6C7E" w:rsidRDefault="002A6C7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8E"/>
    <w:rsid w:val="000B5014"/>
    <w:rsid w:val="0011310D"/>
    <w:rsid w:val="00125A8E"/>
    <w:rsid w:val="00167A55"/>
    <w:rsid w:val="001763F4"/>
    <w:rsid w:val="00190628"/>
    <w:rsid w:val="00261C0B"/>
    <w:rsid w:val="002633F4"/>
    <w:rsid w:val="002713BE"/>
    <w:rsid w:val="002A1633"/>
    <w:rsid w:val="002A6C7E"/>
    <w:rsid w:val="00303274"/>
    <w:rsid w:val="003334DC"/>
    <w:rsid w:val="003A1ED6"/>
    <w:rsid w:val="003D1327"/>
    <w:rsid w:val="003F0EE6"/>
    <w:rsid w:val="004056B7"/>
    <w:rsid w:val="00423B29"/>
    <w:rsid w:val="00427993"/>
    <w:rsid w:val="0045359C"/>
    <w:rsid w:val="004566D3"/>
    <w:rsid w:val="004D460A"/>
    <w:rsid w:val="005B5051"/>
    <w:rsid w:val="00600374"/>
    <w:rsid w:val="00623D27"/>
    <w:rsid w:val="006529B9"/>
    <w:rsid w:val="0068048F"/>
    <w:rsid w:val="006C0668"/>
    <w:rsid w:val="00770209"/>
    <w:rsid w:val="0078203F"/>
    <w:rsid w:val="00784C19"/>
    <w:rsid w:val="008435E4"/>
    <w:rsid w:val="008A4114"/>
    <w:rsid w:val="008D1416"/>
    <w:rsid w:val="008D6223"/>
    <w:rsid w:val="0092629E"/>
    <w:rsid w:val="009A11FA"/>
    <w:rsid w:val="009F65DE"/>
    <w:rsid w:val="00A13D3A"/>
    <w:rsid w:val="00A25304"/>
    <w:rsid w:val="00A7707F"/>
    <w:rsid w:val="00AD5C07"/>
    <w:rsid w:val="00BA22EC"/>
    <w:rsid w:val="00BC5E8B"/>
    <w:rsid w:val="00C0268E"/>
    <w:rsid w:val="00CE2130"/>
    <w:rsid w:val="00D333B4"/>
    <w:rsid w:val="00DA0250"/>
    <w:rsid w:val="00E07362"/>
    <w:rsid w:val="00EB08B4"/>
    <w:rsid w:val="00F96234"/>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2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30"/>
    <w:rPr>
      <w:sz w:val="20"/>
      <w:szCs w:val="20"/>
    </w:rPr>
  </w:style>
  <w:style w:type="character" w:styleId="FootnoteReference">
    <w:name w:val="footnote reference"/>
    <w:basedOn w:val="DefaultParagraphFont"/>
    <w:uiPriority w:val="99"/>
    <w:semiHidden/>
    <w:unhideWhenUsed/>
    <w:rsid w:val="00CE2130"/>
    <w:rPr>
      <w:vertAlign w:val="superscript"/>
    </w:rPr>
  </w:style>
  <w:style w:type="paragraph" w:styleId="Header">
    <w:name w:val="header"/>
    <w:basedOn w:val="Normal"/>
    <w:link w:val="HeaderChar"/>
    <w:uiPriority w:val="99"/>
    <w:unhideWhenUsed/>
    <w:rsid w:val="0017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F4"/>
  </w:style>
  <w:style w:type="paragraph" w:styleId="Footer">
    <w:name w:val="footer"/>
    <w:basedOn w:val="Normal"/>
    <w:link w:val="FooterChar"/>
    <w:uiPriority w:val="99"/>
    <w:unhideWhenUsed/>
    <w:rsid w:val="0017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F4"/>
  </w:style>
  <w:style w:type="paragraph" w:styleId="BalloonText">
    <w:name w:val="Balloon Text"/>
    <w:basedOn w:val="Normal"/>
    <w:link w:val="BalloonTextChar"/>
    <w:uiPriority w:val="99"/>
    <w:semiHidden/>
    <w:unhideWhenUsed/>
    <w:rsid w:val="00D3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2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30"/>
    <w:rPr>
      <w:sz w:val="20"/>
      <w:szCs w:val="20"/>
    </w:rPr>
  </w:style>
  <w:style w:type="character" w:styleId="FootnoteReference">
    <w:name w:val="footnote reference"/>
    <w:basedOn w:val="DefaultParagraphFont"/>
    <w:uiPriority w:val="99"/>
    <w:semiHidden/>
    <w:unhideWhenUsed/>
    <w:rsid w:val="00CE2130"/>
    <w:rPr>
      <w:vertAlign w:val="superscript"/>
    </w:rPr>
  </w:style>
  <w:style w:type="paragraph" w:styleId="Header">
    <w:name w:val="header"/>
    <w:basedOn w:val="Normal"/>
    <w:link w:val="HeaderChar"/>
    <w:uiPriority w:val="99"/>
    <w:unhideWhenUsed/>
    <w:rsid w:val="00176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F4"/>
  </w:style>
  <w:style w:type="paragraph" w:styleId="Footer">
    <w:name w:val="footer"/>
    <w:basedOn w:val="Normal"/>
    <w:link w:val="FooterChar"/>
    <w:uiPriority w:val="99"/>
    <w:unhideWhenUsed/>
    <w:rsid w:val="00176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F4"/>
  </w:style>
  <w:style w:type="paragraph" w:styleId="BalloonText">
    <w:name w:val="Balloon Text"/>
    <w:basedOn w:val="Normal"/>
    <w:link w:val="BalloonTextChar"/>
    <w:uiPriority w:val="99"/>
    <w:semiHidden/>
    <w:unhideWhenUsed/>
    <w:rsid w:val="00D3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2024-01-24T03:32:00Z</cp:lastPrinted>
  <dcterms:created xsi:type="dcterms:W3CDTF">2024-01-23T09:22:00Z</dcterms:created>
  <dcterms:modified xsi:type="dcterms:W3CDTF">2024-01-25T03:58:00Z</dcterms:modified>
</cp:coreProperties>
</file>