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5793"/>
      </w:tblGrid>
      <w:tr w:rsidR="00524913" w:rsidRPr="00911328" w:rsidTr="00312FCB">
        <w:trPr>
          <w:jc w:val="center"/>
        </w:trPr>
        <w:tc>
          <w:tcPr>
            <w:tcW w:w="4134" w:type="dxa"/>
          </w:tcPr>
          <w:p w:rsidR="00524913" w:rsidRPr="00911328" w:rsidRDefault="00524913" w:rsidP="004837F0">
            <w:pPr>
              <w:rPr>
                <w:sz w:val="24"/>
                <w:szCs w:val="24"/>
              </w:rPr>
            </w:pPr>
            <w:r w:rsidRPr="00911328">
              <w:rPr>
                <w:sz w:val="24"/>
                <w:szCs w:val="24"/>
              </w:rPr>
              <w:t>HỘI CỰU CHIẾN BINH VIỆT NAM</w:t>
            </w:r>
          </w:p>
        </w:tc>
        <w:tc>
          <w:tcPr>
            <w:tcW w:w="5793" w:type="dxa"/>
          </w:tcPr>
          <w:p w:rsidR="00524913" w:rsidRPr="00911328" w:rsidRDefault="00524913" w:rsidP="004837F0">
            <w:pPr>
              <w:rPr>
                <w:b/>
                <w:sz w:val="26"/>
                <w:szCs w:val="26"/>
              </w:rPr>
            </w:pPr>
            <w:r w:rsidRPr="00911328">
              <w:rPr>
                <w:b/>
                <w:sz w:val="26"/>
                <w:szCs w:val="26"/>
              </w:rPr>
              <w:t>CỘNG HÒA XÃ HỘI CHỦ NGHĨA VIỆT NAM</w:t>
            </w:r>
          </w:p>
        </w:tc>
      </w:tr>
      <w:tr w:rsidR="00524913" w:rsidRPr="00911328" w:rsidTr="00312FCB">
        <w:trPr>
          <w:jc w:val="center"/>
        </w:trPr>
        <w:tc>
          <w:tcPr>
            <w:tcW w:w="4134" w:type="dxa"/>
          </w:tcPr>
          <w:p w:rsidR="00524913" w:rsidRPr="00911328" w:rsidRDefault="00524913" w:rsidP="004837F0">
            <w:pPr>
              <w:jc w:val="center"/>
              <w:rPr>
                <w:b/>
                <w:sz w:val="26"/>
                <w:szCs w:val="26"/>
              </w:rPr>
            </w:pPr>
            <w:r w:rsidRPr="00911328">
              <w:rPr>
                <w:noProof/>
                <w:sz w:val="26"/>
                <w:szCs w:val="26"/>
              </w:rPr>
              <mc:AlternateContent>
                <mc:Choice Requires="wps">
                  <w:drawing>
                    <wp:anchor distT="0" distB="0" distL="114300" distR="114300" simplePos="0" relativeHeight="251659264" behindDoc="0" locked="0" layoutInCell="1" allowOverlap="1" wp14:anchorId="79CE4E8C" wp14:editId="7AA83B67">
                      <wp:simplePos x="0" y="0"/>
                      <wp:positionH relativeFrom="column">
                        <wp:posOffset>750911</wp:posOffset>
                      </wp:positionH>
                      <wp:positionV relativeFrom="paragraph">
                        <wp:posOffset>185420</wp:posOffset>
                      </wp:positionV>
                      <wp:extent cx="7683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683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5D5C30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15pt,14.6pt" to="119.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g7AEAADwEAAAOAAAAZHJzL2Uyb0RvYy54bWysU01v3CAQvVfqf0Dcu/amSZpa681ho/TS&#10;j1XT/gCChzUSMAjI2vvvO2CvE7VVpVa9YDPMezPvMWxuR2vYEULU6Fq+XtWcgZPYaXdo+fdv929u&#10;OItJuE4YdNDyE0R+u339ajP4Bi6wR9NBYETiYjP4lvcp+aaqouzBirhCD44OFQYrEm3DoeqCGIjd&#10;muqirq+rAUPnA0qIkaJ30yHfFn6lQKYvSkVIzLScektlDWV9zGu13YjmEITvtZzbEP/QhRXaUdGF&#10;6k4kwZ6C/oXKahkwokoribZCpbSEooHUrOuf1Dz0wkPRQuZEv9gU/x+t/HzcB6a7ll9y5oSlK3pI&#10;QehDn9gOnSMDMbDL7NPgY0PpO7cP8y76fciiRxVs/pIcNhZvT4u3MCYmKfju+ubtFd2APB9Vzzgf&#10;YvoAaFn+abnRLqsWjTh+jIlqUeo5JYeNy2tEo7t7bUzZ5HmBnQnsKOim07guBObJfsJuir2/quv5&#10;vilMUzGFz1GqUYYuk5SKL/jpLNessgOT5vKXTgamfr6CIg9J5VR2IZpKCCnBpXX2sDBRdoYp6n0B&#10;1qXfPwLn/AyFMtl/A14QpTK6tICtdhh+Vz2bOLWspvyzA5PubMEjdqcyDcUaGtGicH5O+Q283Bf4&#10;86Pf/gAAAP//AwBQSwMEFAAGAAgAAAAhAOiAxWbdAAAACQEAAA8AAABkcnMvZG93bnJldi54bWxM&#10;j8FOwzAQRO9I/IO1lbhRp65ATYhTARLqAajUgnJ24m0SNV5HsduGv2cRBzjO7NPsTL6eXC/OOIbO&#10;k4bFPAGBVHvbUaPh8+PldgUiREPW9J5QwxcGWBfXV7nJrL/QDs/72AgOoZAZDW2MQyZlqFt0Jsz9&#10;gMS3gx+diSzHRtrRXDjc9VIlyb10piP+0JoBn1usj/uT0/A0VNOmtOV7VJu71+3uqIb0rdT6ZjY9&#10;PoCIOMU/GH7qc3UouFPlT2SD6FkvVktGNahUgWBALVM2ql9DFrn8v6D4BgAA//8DAFBLAQItABQA&#10;BgAIAAAAIQC2gziS/gAAAOEBAAATAAAAAAAAAAAAAAAAAAAAAABbQ29udGVudF9UeXBlc10ueG1s&#10;UEsBAi0AFAAGAAgAAAAhADj9If/WAAAAlAEAAAsAAAAAAAAAAAAAAAAALwEAAF9yZWxzLy5yZWxz&#10;UEsBAi0AFAAGAAgAAAAhAJ7/fWDsAQAAPAQAAA4AAAAAAAAAAAAAAAAALgIAAGRycy9lMm9Eb2Mu&#10;eG1sUEsBAi0AFAAGAAgAAAAhAOiAxWbdAAAACQEAAA8AAAAAAAAAAAAAAAAARgQAAGRycy9kb3du&#10;cmV2LnhtbFBLBQYAAAAABAAEAPMAAABQBQAAAAA=&#10;" strokecolor="#0d0d0d [3069]"/>
                  </w:pict>
                </mc:Fallback>
              </mc:AlternateContent>
            </w:r>
            <w:r w:rsidRPr="00911328">
              <w:rPr>
                <w:b/>
                <w:sz w:val="26"/>
                <w:szCs w:val="26"/>
              </w:rPr>
              <w:t>HỘI CCB TỈNH QUẢNG NAM</w:t>
            </w:r>
          </w:p>
        </w:tc>
        <w:tc>
          <w:tcPr>
            <w:tcW w:w="5793" w:type="dxa"/>
          </w:tcPr>
          <w:p w:rsidR="00524913" w:rsidRPr="00911328" w:rsidRDefault="00524913" w:rsidP="004837F0">
            <w:pPr>
              <w:jc w:val="center"/>
              <w:rPr>
                <w:b/>
                <w:sz w:val="26"/>
                <w:szCs w:val="26"/>
              </w:rPr>
            </w:pPr>
            <w:r w:rsidRPr="00911328">
              <w:rPr>
                <w:b/>
                <w:sz w:val="26"/>
                <w:szCs w:val="26"/>
              </w:rPr>
              <w:t>Độc lập - Tự do - Hạnh phúc</w:t>
            </w:r>
          </w:p>
        </w:tc>
      </w:tr>
      <w:tr w:rsidR="00524913" w:rsidRPr="00911328" w:rsidTr="00312FCB">
        <w:trPr>
          <w:trHeight w:val="258"/>
          <w:jc w:val="center"/>
        </w:trPr>
        <w:tc>
          <w:tcPr>
            <w:tcW w:w="4134" w:type="dxa"/>
          </w:tcPr>
          <w:p w:rsidR="004837F0" w:rsidRPr="00911328" w:rsidRDefault="00524913" w:rsidP="004837F0">
            <w:pPr>
              <w:jc w:val="center"/>
              <w:rPr>
                <w:sz w:val="26"/>
                <w:szCs w:val="26"/>
              </w:rPr>
            </w:pPr>
            <w:r w:rsidRPr="00911328">
              <w:rPr>
                <w:sz w:val="26"/>
                <w:szCs w:val="26"/>
              </w:rPr>
              <w:t xml:space="preserve"> </w:t>
            </w:r>
          </w:p>
          <w:p w:rsidR="00524913" w:rsidRPr="00911328" w:rsidRDefault="00524913" w:rsidP="001E399D">
            <w:pPr>
              <w:jc w:val="center"/>
              <w:rPr>
                <w:b/>
                <w:sz w:val="26"/>
                <w:szCs w:val="26"/>
              </w:rPr>
            </w:pPr>
            <w:r w:rsidRPr="00911328">
              <w:rPr>
                <w:sz w:val="26"/>
                <w:szCs w:val="26"/>
              </w:rPr>
              <w:t xml:space="preserve">Số: </w:t>
            </w:r>
            <w:r w:rsidR="001E399D" w:rsidRPr="001E399D">
              <w:rPr>
                <w:b/>
                <w:sz w:val="26"/>
                <w:szCs w:val="26"/>
              </w:rPr>
              <w:t>109</w:t>
            </w:r>
            <w:r w:rsidRPr="00911328">
              <w:rPr>
                <w:b/>
                <w:sz w:val="26"/>
                <w:szCs w:val="26"/>
              </w:rPr>
              <w:t xml:space="preserve">  </w:t>
            </w:r>
            <w:r w:rsidR="002971CC">
              <w:rPr>
                <w:b/>
                <w:sz w:val="26"/>
                <w:szCs w:val="26"/>
              </w:rPr>
              <w:t>/</w:t>
            </w:r>
            <w:r w:rsidRPr="00911328">
              <w:rPr>
                <w:sz w:val="26"/>
                <w:szCs w:val="26"/>
              </w:rPr>
              <w:t>KH-CCB</w:t>
            </w:r>
          </w:p>
        </w:tc>
        <w:tc>
          <w:tcPr>
            <w:tcW w:w="5793" w:type="dxa"/>
          </w:tcPr>
          <w:p w:rsidR="004837F0" w:rsidRPr="00911328" w:rsidRDefault="004837F0" w:rsidP="004837F0">
            <w:pPr>
              <w:jc w:val="center"/>
              <w:rPr>
                <w:i/>
                <w:sz w:val="26"/>
                <w:szCs w:val="26"/>
              </w:rPr>
            </w:pPr>
            <w:r w:rsidRPr="00911328">
              <w:rPr>
                <w:b/>
                <w:noProof/>
                <w:sz w:val="26"/>
                <w:szCs w:val="26"/>
              </w:rPr>
              <mc:AlternateContent>
                <mc:Choice Requires="wps">
                  <w:drawing>
                    <wp:anchor distT="0" distB="0" distL="114300" distR="114300" simplePos="0" relativeHeight="251660288" behindDoc="0" locked="0" layoutInCell="1" allowOverlap="1" wp14:anchorId="22FBE9DD" wp14:editId="3547781C">
                      <wp:simplePos x="0" y="0"/>
                      <wp:positionH relativeFrom="column">
                        <wp:posOffset>737870</wp:posOffset>
                      </wp:positionH>
                      <wp:positionV relativeFrom="paragraph">
                        <wp:posOffset>15875</wp:posOffset>
                      </wp:positionV>
                      <wp:extent cx="2058670"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20586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E69D94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1pt,1.25pt" to="220.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u91wEAAAwEAAAOAAAAZHJzL2Uyb0RvYy54bWysU8tu2zAQvBfoPxC815INKE0Fyzk4SC9F&#10;azTNBzDU0iLAF5asZf99l5QtB22BokEulJbcmd0ZLtd3R2vYATBq7zq+XNScgZO+127f8acfDx9u&#10;OYtJuF4Y76DjJ4j8bvP+3XoMLaz84E0PyIjExXYMHR9SCm1VRTmAFXHhAzg6VB6tSBTivupRjMRu&#10;TbWq65tq9NgH9BJipN376ZBvCr9SINM3pSIkZjpOvaWyYlmf81pt1qLdowiDluc2xCu6sEI7KjpT&#10;3Ysk2E/Uf1BZLdFHr9JCelt5pbSEooHULOvf1DwOIkDRQubEMNsU345Wfj3skOm+4w1nTli6oseE&#10;Qu+HxLbeOTLQI2uyT2OILaVv3Q7PUQw7zKKPCm3+khx2LN6eZm/hmJikzVXd3N58pCuQl7PqCgwY&#10;02fwluWfjhvtsmzRisOXmKgYpV5S8rZxbOz4p2bVlKzoje4ftDH5rEwObA2yg6A7T8dl7p0IXmRR&#10;ZBxtZkWThvKXTgYm+u+gyBPqejkVyNN45RRSgksXXuMoO8MUdTAD638Dz/kZCmVS/wc8I0pl79IM&#10;ttp5/Fv1qxVqyr84MOnOFjz7/lRut1hDI1ecOz+PPNMv4wK/PuLNLwAAAP//AwBQSwMEFAAGAAgA&#10;AAAhAA840E3aAAAABwEAAA8AAABkcnMvZG93bnJldi54bWxMjsFOg0AURfcm/sPkNXFnhxIkDTI0&#10;jdGNcQN2obsp8wpE5g1lhoJ/79ONXZ7cm3tPvltsLy44+s6Rgs06AoFUO9NRo+Dw/nK/BeGDJqN7&#10;R6jgGz3situbXGfGzVTipQqN4BHymVbQhjBkUvq6Rav92g1InJ3caHVgHBtpRj3zuO1lHEWptLoj&#10;fmj1gE8t1l/VZBW8nt/8IUnL5/LjvK3mz9PUNg6Vulst+0cQAZfwX4ZffVaHgp2ObiLjRc+8SWOu&#10;KogfQHCeJFEC4vjHssjltX/xAwAA//8DAFBLAQItABQABgAIAAAAIQC2gziS/gAAAOEBAAATAAAA&#10;AAAAAAAAAAAAAAAAAABbQ29udGVudF9UeXBlc10ueG1sUEsBAi0AFAAGAAgAAAAhADj9If/WAAAA&#10;lAEAAAsAAAAAAAAAAAAAAAAALwEAAF9yZWxzLy5yZWxzUEsBAi0AFAAGAAgAAAAhAEfEu73XAQAA&#10;DAQAAA4AAAAAAAAAAAAAAAAALgIAAGRycy9lMm9Eb2MueG1sUEsBAi0AFAAGAAgAAAAhAA840E3a&#10;AAAABwEAAA8AAAAAAAAAAAAAAAAAMQQAAGRycy9kb3ducmV2LnhtbFBLBQYAAAAABAAEAPMAAAA4&#10;BQAAAAA=&#10;" strokecolor="black [3213]"/>
                  </w:pict>
                </mc:Fallback>
              </mc:AlternateContent>
            </w:r>
          </w:p>
          <w:p w:rsidR="00524913" w:rsidRPr="00911328" w:rsidRDefault="00524913" w:rsidP="002971CC">
            <w:pPr>
              <w:jc w:val="center"/>
              <w:rPr>
                <w:i/>
                <w:sz w:val="26"/>
                <w:szCs w:val="26"/>
              </w:rPr>
            </w:pPr>
            <w:r w:rsidRPr="00911328">
              <w:rPr>
                <w:i/>
                <w:sz w:val="26"/>
                <w:szCs w:val="26"/>
              </w:rPr>
              <w:t xml:space="preserve">Quảng Nam, ngày </w:t>
            </w:r>
            <w:r w:rsidR="002971CC">
              <w:rPr>
                <w:i/>
                <w:sz w:val="26"/>
                <w:szCs w:val="26"/>
              </w:rPr>
              <w:t>25</w:t>
            </w:r>
            <w:r w:rsidRPr="00911328">
              <w:rPr>
                <w:i/>
                <w:sz w:val="26"/>
                <w:szCs w:val="26"/>
              </w:rPr>
              <w:t xml:space="preserve"> tháng 01 năm 2024</w:t>
            </w:r>
          </w:p>
        </w:tc>
      </w:tr>
    </w:tbl>
    <w:p w:rsidR="00575BCC" w:rsidRPr="00911328" w:rsidRDefault="00575BCC" w:rsidP="004837F0">
      <w:pPr>
        <w:spacing w:after="120" w:line="240" w:lineRule="auto"/>
        <w:jc w:val="center"/>
        <w:rPr>
          <w:b/>
          <w:sz w:val="10"/>
        </w:rPr>
      </w:pPr>
    </w:p>
    <w:p w:rsidR="00524913" w:rsidRPr="00911328" w:rsidRDefault="00524913" w:rsidP="00CD54EC">
      <w:pPr>
        <w:spacing w:after="0" w:line="240" w:lineRule="auto"/>
        <w:jc w:val="center"/>
        <w:rPr>
          <w:b/>
        </w:rPr>
      </w:pPr>
      <w:r w:rsidRPr="00911328">
        <w:rPr>
          <w:b/>
        </w:rPr>
        <w:t>KẾ HOẠCH</w:t>
      </w:r>
    </w:p>
    <w:p w:rsidR="00524913" w:rsidRPr="00911328" w:rsidRDefault="00524913" w:rsidP="00CD54EC">
      <w:pPr>
        <w:spacing w:after="0" w:line="240" w:lineRule="auto"/>
        <w:jc w:val="center"/>
        <w:rPr>
          <w:b/>
        </w:rPr>
      </w:pPr>
      <w:r w:rsidRPr="00911328">
        <w:rPr>
          <w:b/>
        </w:rPr>
        <w:t>Triển khai thực hiện Chỉ thị số 31/CT-TTg, ngày 21/12/2023 của Thủ tướng Chính phủ về tăng cường công tác bảo đảm trật tự, an toàn giao thông cho lứa tuổi học sinh trên địa bàn tỉnh trong tình hình mới</w:t>
      </w:r>
    </w:p>
    <w:p w:rsidR="00524913" w:rsidRPr="00911328" w:rsidRDefault="004837F0" w:rsidP="004837F0">
      <w:pPr>
        <w:spacing w:after="120" w:line="240" w:lineRule="auto"/>
        <w:jc w:val="center"/>
        <w:rPr>
          <w:b/>
        </w:rPr>
      </w:pPr>
      <w:r w:rsidRPr="00911328">
        <w:rPr>
          <w:b/>
          <w:noProof/>
        </w:rPr>
        <mc:AlternateContent>
          <mc:Choice Requires="wps">
            <w:drawing>
              <wp:anchor distT="0" distB="0" distL="114300" distR="114300" simplePos="0" relativeHeight="251661312" behindDoc="0" locked="0" layoutInCell="1" allowOverlap="1" wp14:anchorId="11D7A630" wp14:editId="190F3504">
                <wp:simplePos x="0" y="0"/>
                <wp:positionH relativeFrom="column">
                  <wp:posOffset>2451958</wp:posOffset>
                </wp:positionH>
                <wp:positionV relativeFrom="paragraph">
                  <wp:posOffset>32236</wp:posOffset>
                </wp:positionV>
                <wp:extent cx="1030941" cy="4482"/>
                <wp:effectExtent l="0" t="0" r="17145" b="33655"/>
                <wp:wrapNone/>
                <wp:docPr id="1" name="Straight Connector 1"/>
                <wp:cNvGraphicFramePr/>
                <a:graphic xmlns:a="http://schemas.openxmlformats.org/drawingml/2006/main">
                  <a:graphicData uri="http://schemas.microsoft.com/office/word/2010/wordprocessingShape">
                    <wps:wsp>
                      <wps:cNvCnPr/>
                      <wps:spPr>
                        <a:xfrm>
                          <a:off x="0" y="0"/>
                          <a:ext cx="1030941" cy="44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8BE93E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05pt,2.55pt" to="274.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a0uAEAALoDAAAOAAAAZHJzL2Uyb0RvYy54bWysU8tu2zAQvBfIPxC8x5Jdo0gFyzk4aC9F&#10;azTNBzDU0iLKF5asJf99l5StFElRFEEuFJec2d0Zrja3ozXsCBi1dy1fLmrOwEnfaXdo+cOPT9c3&#10;nMUkXCeMd9DyE0R+u716txlCAyvfe9MBMkriYjOElvcphaaqouzBirjwARxdKo9WJArxUHUoBspu&#10;TbWq6w/V4LEL6CXESKd30yXflvxKgUzflIqQmGk59ZbKimV9zGu13YjmgCL0Wp7bEK/owgrtqOic&#10;6k4kwX6hfpHKaok+epUW0tvKK6UlFA2kZlk/U3PfiwBFC5kTw2xTfLu08utxj0x39HacOWHpie4T&#10;Cn3oE9t558hAj2yZfRpCbAi+c3s8RzHsMYseFdr8JTlsLN6eZm9hTEzS4bJ+X39cUxFJd+v1zSqn&#10;rJ64AWP6DN6yvGm50S4rF404folpgl4gxMu9TNXLLp0MZLBx30GRmlyvsMscwc4gOwqagO5nUUJl&#10;CzJTlDZmJtX/Jp2xmQZltv6XOKNLRe/STLTaefxb1TReWlUT/qJ60pplP/ruVN6i2EEDUgw9D3Oe&#10;wD/jQn/65ba/AQAA//8DAFBLAwQUAAYACAAAACEAo97xX90AAAAHAQAADwAAAGRycy9kb3ducmV2&#10;LnhtbEyOzU7DMBCE70i8g7VI3KhTIK0V4lSInxMcQuDA0Y2XJGq8jmI3CTw9y6mcZkczmv3y3eJ6&#10;MeEYOk8a1qsEBFLtbUeNho/35ysFIkRD1vSeUMM3BtgV52e5yayf6Q2nKjaCRyhkRkMb45BJGeoW&#10;nQkrPyBx9uVHZyLbsZF2NDOPu15eJ8lGOtMRf2jNgA8t1ofq6DRsn16qcpgfX39KuZVlOfmoDp9a&#10;X14s93cgIi7xVIY/fEaHgpn2/kg2iF7DjdqsuaohZeE8vVUpiD0fCmSRy//8xS8AAAD//wMAUEsB&#10;Ai0AFAAGAAgAAAAhALaDOJL+AAAA4QEAABMAAAAAAAAAAAAAAAAAAAAAAFtDb250ZW50X1R5cGVz&#10;XS54bWxQSwECLQAUAAYACAAAACEAOP0h/9YAAACUAQAACwAAAAAAAAAAAAAAAAAvAQAAX3JlbHMv&#10;LnJlbHNQSwECLQAUAAYACAAAACEAI+Q2tLgBAAC6AwAADgAAAAAAAAAAAAAAAAAuAgAAZHJzL2Uy&#10;b0RvYy54bWxQSwECLQAUAAYACAAAACEAo97xX90AAAAHAQAADwAAAAAAAAAAAAAAAAASBAAAZHJz&#10;L2Rvd25yZXYueG1sUEsFBgAAAAAEAAQA8wAAABwFAAAAAA==&#10;" strokecolor="black [3040]"/>
            </w:pict>
          </mc:Fallback>
        </mc:AlternateContent>
      </w:r>
    </w:p>
    <w:p w:rsidR="00524913" w:rsidRPr="00911328" w:rsidRDefault="00524913" w:rsidP="004837F0">
      <w:pPr>
        <w:spacing w:after="120" w:line="240" w:lineRule="auto"/>
        <w:ind w:firstLine="720"/>
        <w:jc w:val="both"/>
      </w:pPr>
      <w:r w:rsidRPr="00911328">
        <w:t xml:space="preserve">Thực hiện </w:t>
      </w:r>
      <w:r w:rsidR="006506EC" w:rsidRPr="00911328">
        <w:t>Kế hoạch số</w:t>
      </w:r>
      <w:r w:rsidR="00575BCC" w:rsidRPr="00911328">
        <w:t xml:space="preserve">: </w:t>
      </w:r>
      <w:r w:rsidR="006506EC" w:rsidRPr="00911328">
        <w:t>365/KH-UBND ngày 15/01/2024 của UBND tỉnh Quảng Nam</w:t>
      </w:r>
      <w:r w:rsidR="00575BCC" w:rsidRPr="00911328">
        <w:t xml:space="preserve"> về Triển khai thực hiện Chỉ thị số 31/CT-TTg, ngày 21/12/2023 của Thủ tướng Chính phủ về tăng cường công tác bảo đảm trật tự, an toàn giao thông cho lứa tuổi học sinh trên địa bàn tỉnh trong tình hình mới. Hội CCB </w:t>
      </w:r>
      <w:r w:rsidRPr="00911328">
        <w:t>tỉnh Quảng Nam ban hành kế hoạch triển khai thực hiện với các nội dung sau đây:</w:t>
      </w:r>
    </w:p>
    <w:p w:rsidR="00524913" w:rsidRPr="00911328" w:rsidRDefault="00524913" w:rsidP="004837F0">
      <w:pPr>
        <w:spacing w:after="120" w:line="240" w:lineRule="auto"/>
        <w:ind w:firstLine="720"/>
        <w:rPr>
          <w:b/>
        </w:rPr>
      </w:pPr>
      <w:r w:rsidRPr="00911328">
        <w:rPr>
          <w:b/>
        </w:rPr>
        <w:t>I. MỤC ĐÍCH, YÊU CẦU</w:t>
      </w:r>
    </w:p>
    <w:p w:rsidR="00524913" w:rsidRPr="00911328" w:rsidRDefault="00524913" w:rsidP="004837F0">
      <w:pPr>
        <w:spacing w:after="120" w:line="240" w:lineRule="auto"/>
        <w:ind w:firstLine="720"/>
        <w:rPr>
          <w:b/>
        </w:rPr>
      </w:pPr>
      <w:r w:rsidRPr="00911328">
        <w:rPr>
          <w:b/>
        </w:rPr>
        <w:t>1. Mục đích:</w:t>
      </w:r>
    </w:p>
    <w:p w:rsidR="00524913" w:rsidRPr="00911328" w:rsidRDefault="00524913" w:rsidP="004837F0">
      <w:pPr>
        <w:spacing w:after="120" w:line="240" w:lineRule="auto"/>
        <w:ind w:firstLine="720"/>
        <w:jc w:val="both"/>
      </w:pPr>
      <w:r w:rsidRPr="00911328">
        <w:t>- Chỉ đạo và tổ chức triển khai thực hiện quyết liệt, đồng bộ các giải pháp đảm bảo trật tự, an toàn giao thông (TTATGT) cho lứa tuổi học sinh trong tình hình mới theo Chỉ thị số 31/CT-TTg ngày 21/</w:t>
      </w:r>
      <w:r w:rsidR="00797170">
        <w:t>1</w:t>
      </w:r>
      <w:bookmarkStart w:id="0" w:name="_GoBack"/>
      <w:bookmarkEnd w:id="0"/>
      <w:r w:rsidR="0066008D">
        <w:t>2</w:t>
      </w:r>
      <w:r w:rsidRPr="00911328">
        <w:t xml:space="preserve">/2023 của Thủ tướng Chính phủ </w:t>
      </w:r>
      <w:r w:rsidR="00575BCC" w:rsidRPr="00911328">
        <w:t xml:space="preserve">và kế hoạch của UBND tỉnh </w:t>
      </w:r>
      <w:r w:rsidR="005251F4" w:rsidRPr="00911328">
        <w:t>trong các cấp Hội.</w:t>
      </w:r>
    </w:p>
    <w:p w:rsidR="00524913" w:rsidRPr="00911328" w:rsidRDefault="00524913" w:rsidP="004837F0">
      <w:pPr>
        <w:spacing w:after="120" w:line="240" w:lineRule="auto"/>
        <w:ind w:firstLine="720"/>
        <w:jc w:val="both"/>
      </w:pPr>
      <w:r w:rsidRPr="00911328">
        <w:t xml:space="preserve">- Nâng cao tinh thần trách nhiệm, vai trò </w:t>
      </w:r>
      <w:r w:rsidR="005251F4" w:rsidRPr="00911328">
        <w:t>lãnh đạo của các cấp Hội</w:t>
      </w:r>
      <w:r w:rsidRPr="00911328">
        <w:t xml:space="preserve"> trong công tác bảo đảm TTATGT, trong đó có bảo đảm an toàn giao thông cho lứa tuổi học sinh</w:t>
      </w:r>
      <w:r w:rsidR="005251F4" w:rsidRPr="00911328">
        <w:t>.</w:t>
      </w:r>
    </w:p>
    <w:p w:rsidR="00524913" w:rsidRPr="00911328" w:rsidRDefault="00524913" w:rsidP="004837F0">
      <w:pPr>
        <w:spacing w:after="120" w:line="240" w:lineRule="auto"/>
        <w:ind w:firstLine="720"/>
        <w:jc w:val="both"/>
      </w:pPr>
      <w:r w:rsidRPr="00911328">
        <w:t xml:space="preserve">- </w:t>
      </w:r>
      <w:r w:rsidR="00026167" w:rsidRPr="00911328">
        <w:t>Triển khai các mô hình tham gia bảo đảm trật tự an toàn giao thông cho lứa tuổi học sinh</w:t>
      </w:r>
      <w:r w:rsidRPr="00911328">
        <w:t>.</w:t>
      </w:r>
    </w:p>
    <w:p w:rsidR="00524913" w:rsidRPr="00911328" w:rsidRDefault="00524913" w:rsidP="004837F0">
      <w:pPr>
        <w:spacing w:after="120" w:line="240" w:lineRule="auto"/>
        <w:ind w:firstLine="720"/>
        <w:jc w:val="both"/>
        <w:rPr>
          <w:b/>
        </w:rPr>
      </w:pPr>
      <w:r w:rsidRPr="00911328">
        <w:rPr>
          <w:b/>
        </w:rPr>
        <w:t>2. Yêu cầu:</w:t>
      </w:r>
    </w:p>
    <w:p w:rsidR="00524913" w:rsidRPr="00911328" w:rsidRDefault="00524913" w:rsidP="004837F0">
      <w:pPr>
        <w:spacing w:after="120" w:line="240" w:lineRule="auto"/>
        <w:ind w:firstLine="720"/>
        <w:jc w:val="both"/>
      </w:pPr>
      <w:r w:rsidRPr="00911328">
        <w:t xml:space="preserve">- </w:t>
      </w:r>
      <w:r w:rsidR="00026167" w:rsidRPr="00911328">
        <w:t>C</w:t>
      </w:r>
      <w:r w:rsidR="005251F4" w:rsidRPr="00911328">
        <w:t>ác cấp Hội</w:t>
      </w:r>
      <w:r w:rsidRPr="00911328">
        <w:t xml:space="preserve"> </w:t>
      </w:r>
      <w:r w:rsidR="00026167" w:rsidRPr="00911328">
        <w:t xml:space="preserve">quán triệt và tham gia thực hiện tốt Chỉ thị số 31/CT-TTg, ngày 21/12/2023 của Thủ tướng Chính phủ và Kế hoạch số 365/KH-UBND ngày 15/01/2024 của Uỷ ban nhân dân tỉnh và </w:t>
      </w:r>
      <w:r w:rsidRPr="00911328">
        <w:t>coi đây là nhiệm vụ rất quan trọng, là một trong những ưu tiên hàng đầu trong tổng thể</w:t>
      </w:r>
      <w:r w:rsidR="005251F4" w:rsidRPr="00911328">
        <w:t xml:space="preserve"> </w:t>
      </w:r>
      <w:r w:rsidRPr="00911328">
        <w:t xml:space="preserve">công tác bảo đảm TTATGT </w:t>
      </w:r>
      <w:r w:rsidR="00026167" w:rsidRPr="00911328">
        <w:t xml:space="preserve">theo </w:t>
      </w:r>
      <w:r w:rsidRPr="00911328">
        <w:t>chủ trương chỉ đạo của Đảng, Nhà nước về bảo đảm TTATGT</w:t>
      </w:r>
      <w:r w:rsidR="005251F4" w:rsidRPr="00911328">
        <w:t>.</w:t>
      </w:r>
    </w:p>
    <w:p w:rsidR="00524913" w:rsidRPr="00911328" w:rsidRDefault="00524913" w:rsidP="004837F0">
      <w:pPr>
        <w:spacing w:after="120" w:line="240" w:lineRule="auto"/>
        <w:ind w:firstLine="720"/>
        <w:rPr>
          <w:b/>
        </w:rPr>
      </w:pPr>
      <w:r w:rsidRPr="00911328">
        <w:rPr>
          <w:b/>
        </w:rPr>
        <w:t>II. NHIỆM VỤ, GIẢI PHÁP TRỌNG TÂM</w:t>
      </w:r>
    </w:p>
    <w:p w:rsidR="00524913" w:rsidRPr="00911328" w:rsidRDefault="00524913" w:rsidP="004837F0">
      <w:pPr>
        <w:spacing w:after="120" w:line="240" w:lineRule="auto"/>
        <w:ind w:firstLine="720"/>
        <w:jc w:val="both"/>
      </w:pPr>
      <w:r w:rsidRPr="00911328">
        <w:t xml:space="preserve">1. </w:t>
      </w:r>
      <w:r w:rsidR="005251F4" w:rsidRPr="00911328">
        <w:t>Lãnh đạo</w:t>
      </w:r>
      <w:r w:rsidRPr="00911328">
        <w:t xml:space="preserve"> các cấp</w:t>
      </w:r>
      <w:r w:rsidR="005251F4" w:rsidRPr="00911328">
        <w:t xml:space="preserve"> Hội</w:t>
      </w:r>
      <w:r w:rsidRPr="00911328">
        <w:t xml:space="preserve"> phải xác định công tác bảo đảm TTATGT cho lứa tuổi học sinh là nhiệm vụ rất quan trọng, là một trong những ưu tiên hàng đầu trong tổng thể công tác bảo đảm TTATGT, vừa có tính cấp bách trước mắt vừa có ý nghĩa chiến lược lâu dài, cần được thực hiện một cách quyết liệt, kiên trì, thường xuyên, liên tục để bảo vệ và xây dựng thế hệ công dân tương lai có văn hoá giao thông văn minh, góp phần phát triển bền vững đất nước.</w:t>
      </w:r>
    </w:p>
    <w:p w:rsidR="005251F4" w:rsidRPr="00911328" w:rsidRDefault="00524913" w:rsidP="004837F0">
      <w:pPr>
        <w:spacing w:after="120" w:line="240" w:lineRule="auto"/>
        <w:ind w:firstLine="720"/>
        <w:jc w:val="both"/>
      </w:pPr>
      <w:r w:rsidRPr="00911328">
        <w:lastRenderedPageBreak/>
        <w:t xml:space="preserve">2. </w:t>
      </w:r>
      <w:r w:rsidR="005251F4" w:rsidRPr="00911328">
        <w:t>Từng cấp Hội</w:t>
      </w:r>
      <w:r w:rsidRPr="00911328">
        <w:t xml:space="preserve"> </w:t>
      </w:r>
      <w:r w:rsidR="00026167" w:rsidRPr="00911328">
        <w:t>căn cứ vào chỉ thị,</w:t>
      </w:r>
      <w:r w:rsidRPr="00911328">
        <w:t xml:space="preserve"> chương trình, kế hoạch </w:t>
      </w:r>
      <w:r w:rsidR="00026167" w:rsidRPr="00911328">
        <w:t>của Thủ tướng Chính phủ và UBND tỉnh</w:t>
      </w:r>
      <w:r w:rsidRPr="00911328">
        <w:t xml:space="preserve"> triển khai thực hiệ</w:t>
      </w:r>
      <w:r w:rsidR="00026167" w:rsidRPr="00911328">
        <w:t>n nghiêm túc</w:t>
      </w:r>
      <w:r w:rsidRPr="00911328">
        <w:t xml:space="preserve">; xác định rõ các nội dung, biện pháp và trách nhiệm </w:t>
      </w:r>
      <w:r w:rsidR="00026167" w:rsidRPr="00911328">
        <w:t xml:space="preserve">tham gia </w:t>
      </w:r>
      <w:r w:rsidRPr="00911328">
        <w:t xml:space="preserve">bảo đảm TTATGT trong lứa tuổi học sinh phù hợp với đặc điểm của </w:t>
      </w:r>
      <w:r w:rsidR="00026167" w:rsidRPr="00911328">
        <w:t>Hội Cựu chiến binh</w:t>
      </w:r>
      <w:r w:rsidRPr="00911328">
        <w:t xml:space="preserve">. </w:t>
      </w:r>
    </w:p>
    <w:p w:rsidR="00524913" w:rsidRPr="00911328" w:rsidRDefault="00524913" w:rsidP="004837F0">
      <w:pPr>
        <w:spacing w:after="120" w:line="240" w:lineRule="auto"/>
        <w:ind w:firstLine="720"/>
        <w:jc w:val="both"/>
      </w:pPr>
      <w:r w:rsidRPr="00911328">
        <w:t xml:space="preserve">3. </w:t>
      </w:r>
      <w:r w:rsidR="00026167" w:rsidRPr="00911328">
        <w:t>Tích cực tham gia</w:t>
      </w:r>
      <w:r w:rsidRPr="00911328">
        <w:t xml:space="preserve"> tuyên truyền, phổ biến, giáo dục pháp luật về giao thông</w:t>
      </w:r>
      <w:r w:rsidR="00026167" w:rsidRPr="00911328">
        <w:t xml:space="preserve"> cho học sinh</w:t>
      </w:r>
      <w:r w:rsidRPr="00911328">
        <w:t>; tập trung trang bị cho học sinh các kỹ năng điều khiển phương tiện, kỹ năng khi đi trên phương tiện thủy và khi đi qua đường ngang giao nhau với đường sắt, kỹ năng xử lý tình huống giao thông; vận động từng gia đình</w:t>
      </w:r>
      <w:r w:rsidR="00DE11A6" w:rsidRPr="00911328">
        <w:t xml:space="preserve"> hội viên CCB, CQN</w:t>
      </w:r>
      <w:r w:rsidRPr="00911328">
        <w:t xml:space="preserve"> chấp hành nghiêm quy định của pháp luật, không giao xe cho học sinh khi chưa đủ điều kiện điều khiển (chưa đủ tuổi, chưa có Giấy phép lái xe theo quy định,...); nhân rộng mô hình </w:t>
      </w:r>
      <w:r w:rsidR="004837F0" w:rsidRPr="00911328">
        <w:rPr>
          <w:i/>
        </w:rPr>
        <w:t>“CCB tham gia giữ gìn TTATGT và xây dựng văn hóa giao thông”</w:t>
      </w:r>
      <w:r w:rsidR="00026167" w:rsidRPr="00911328">
        <w:rPr>
          <w:i/>
        </w:rPr>
        <w:t>, “Tổ Cựu chiến binh tự quản bảo đảm an ninh trật tự, an toàn giao thông”</w:t>
      </w:r>
      <w:r w:rsidR="00911328" w:rsidRPr="00911328">
        <w:rPr>
          <w:i/>
        </w:rPr>
        <w:t>;</w:t>
      </w:r>
      <w:r w:rsidR="004837F0" w:rsidRPr="00911328">
        <w:rPr>
          <w:i/>
        </w:rPr>
        <w:t xml:space="preserve"> </w:t>
      </w:r>
      <w:r w:rsidRPr="00911328">
        <w:rPr>
          <w:i/>
        </w:rPr>
        <w:t>“Cổng trườ</w:t>
      </w:r>
      <w:r w:rsidR="004837F0" w:rsidRPr="00911328">
        <w:rPr>
          <w:i/>
        </w:rPr>
        <w:t>ng an toàn giao thông”</w:t>
      </w:r>
      <w:r w:rsidR="004837F0" w:rsidRPr="00911328">
        <w:t xml:space="preserve"> </w:t>
      </w:r>
      <w:r w:rsidRPr="00911328">
        <w:t>tại khu vực cổng trường trong các giờ cao điểm, tạo thói quen chấp hành các quy định của pháp luật về giao thông tại cổng trường cho học sinh và phụ huynh học sinh.</w:t>
      </w:r>
    </w:p>
    <w:p w:rsidR="00524913" w:rsidRPr="00911328" w:rsidRDefault="00524913" w:rsidP="00D25BEC">
      <w:pPr>
        <w:spacing w:after="120" w:line="240" w:lineRule="auto"/>
        <w:ind w:firstLine="720"/>
        <w:jc w:val="both"/>
      </w:pPr>
      <w:r w:rsidRPr="00911328">
        <w:t>4. Tăng cường sự phối hợp giữa lực lượng chức năng - nhà trường - gia đình trong việc quản lý và giáo dục học sinh nghiêm chỉnh chấp hành quy định pháp luật về TTATGT</w:t>
      </w:r>
      <w:r w:rsidR="00D25BEC" w:rsidRPr="00911328">
        <w:t>.</w:t>
      </w:r>
      <w:r w:rsidRPr="00911328">
        <w:t xml:space="preserve"> </w:t>
      </w:r>
      <w:r w:rsidR="00D25BEC" w:rsidRPr="00911328">
        <w:t>T</w:t>
      </w:r>
      <w:r w:rsidRPr="00911328">
        <w:t>rong đó chú trọng công tác trao đổi thông tin về vi phạm TTATGT của học sinh để cùng quản lý và giáo dục về an toàn giao thông</w:t>
      </w:r>
      <w:r w:rsidR="00D25BEC" w:rsidRPr="00911328">
        <w:t xml:space="preserve">, nhất là những hành vi </w:t>
      </w:r>
      <w:r w:rsidRPr="00911328">
        <w:t>vi phạm có nguy cơ gây tai nạn cho học sinh như: điều khiển xe mô tô, xe gắn máy khi chưa đủ điều kiện, chưa có giấy phép lái xe, không đội mũ bảo hiểm khi tham gia giao thông trên xe mô tô, xe gắn máy, xe đạp điện; chạy quá tốc độ, chở quá số người quy định, lạng lách, đánh võng, bốc đầu xe, đi xe dàn h</w:t>
      </w:r>
      <w:r w:rsidR="00D25BEC" w:rsidRPr="00911328">
        <w:t>àng ngang, đua xe trái phép..</w:t>
      </w:r>
      <w:r w:rsidRPr="00911328">
        <w:t>.</w:t>
      </w:r>
    </w:p>
    <w:p w:rsidR="00524913" w:rsidRPr="00911328" w:rsidRDefault="00D25BEC" w:rsidP="004837F0">
      <w:pPr>
        <w:spacing w:after="120" w:line="240" w:lineRule="auto"/>
        <w:ind w:firstLine="720"/>
        <w:jc w:val="both"/>
      </w:pPr>
      <w:r w:rsidRPr="00911328">
        <w:t>5</w:t>
      </w:r>
      <w:r w:rsidR="00524913" w:rsidRPr="00911328">
        <w:t xml:space="preserve">. </w:t>
      </w:r>
      <w:r w:rsidR="00D81BFB" w:rsidRPr="00911328">
        <w:t xml:space="preserve">Phối hợp với các ngành liên quan </w:t>
      </w:r>
      <w:r w:rsidR="00524913" w:rsidRPr="00911328">
        <w:t xml:space="preserve">tổ chức </w:t>
      </w:r>
      <w:r w:rsidR="00D81BFB" w:rsidRPr="00911328">
        <w:t>vận động tháo dỡ các hàng, quán cơi nới lấn chiếm vỉa hè làm ảnh hưởng đến</w:t>
      </w:r>
      <w:r w:rsidR="00524913" w:rsidRPr="00911328">
        <w:t xml:space="preserve"> hạ tầng giao thông tại các tuyến đường có trường học tiềm ẩn nguy cơ mất an toàn giao thông</w:t>
      </w:r>
      <w:r w:rsidR="004837F0" w:rsidRPr="00911328">
        <w:t xml:space="preserve"> trên toàn địa bàn tỉnh, </w:t>
      </w:r>
      <w:r w:rsidR="00524913" w:rsidRPr="00911328">
        <w:t>nhất là các trường hợp ngay sát các quốc lộ, tuyến đường nhiều phương tiện đi lại vào các khung thời gian học sinh đến trường, tan học</w:t>
      </w:r>
      <w:r w:rsidRPr="00911328">
        <w:t>;</w:t>
      </w:r>
      <w:r w:rsidR="00524913" w:rsidRPr="00911328">
        <w:t xml:space="preserve"> </w:t>
      </w:r>
      <w:r w:rsidRPr="00911328">
        <w:t>x</w:t>
      </w:r>
      <w:r w:rsidR="00D81BFB" w:rsidRPr="00911328">
        <w:t>ây dựng các pa nô, áp phíc tuyên truyền nhằm xây dựng ý thức chấp hành pháp luật về ATGT cho học sinh</w:t>
      </w:r>
      <w:r w:rsidR="00524913" w:rsidRPr="00911328">
        <w:t xml:space="preserve">. </w:t>
      </w:r>
    </w:p>
    <w:p w:rsidR="00524913" w:rsidRPr="00911328" w:rsidRDefault="00524913" w:rsidP="004837F0">
      <w:pPr>
        <w:spacing w:after="120" w:line="240" w:lineRule="auto"/>
        <w:ind w:firstLine="720"/>
        <w:jc w:val="both"/>
        <w:rPr>
          <w:b/>
        </w:rPr>
      </w:pPr>
      <w:r w:rsidRPr="00911328">
        <w:rPr>
          <w:b/>
        </w:rPr>
        <w:t>III. TỔ CHỨC THỰC HIỆN</w:t>
      </w:r>
    </w:p>
    <w:p w:rsidR="00524913" w:rsidRPr="00911328" w:rsidRDefault="00524913" w:rsidP="004837F0">
      <w:pPr>
        <w:spacing w:after="120" w:line="240" w:lineRule="auto"/>
        <w:ind w:firstLine="720"/>
        <w:jc w:val="both"/>
      </w:pPr>
      <w:r w:rsidRPr="00911328">
        <w:t xml:space="preserve">Đề nghị </w:t>
      </w:r>
      <w:r w:rsidR="00D81BFB" w:rsidRPr="00911328">
        <w:t>các cấp Hội trong toàn tỉnh t</w:t>
      </w:r>
      <w:r w:rsidRPr="00911328">
        <w:t>iếp tục đẩy mạnh hoạt động tuyên truyền, vận động</w:t>
      </w:r>
      <w:r w:rsidR="00D81BFB" w:rsidRPr="00911328">
        <w:t xml:space="preserve"> cán bộ, </w:t>
      </w:r>
      <w:r w:rsidRPr="00911328">
        <w:t xml:space="preserve"> </w:t>
      </w:r>
      <w:r w:rsidR="00D81BFB" w:rsidRPr="00911328">
        <w:t xml:space="preserve">hội viên  CCB, CQN và </w:t>
      </w:r>
      <w:r w:rsidRPr="00911328">
        <w:t xml:space="preserve">Nhân dân tích cực, tự giác, gương mẫu chấp hành các quy định của pháp luật về TTATGT; tuyên truyền hướng dẫn, nhắc nhở, quản lý chặt chẽ con em mình, không giao phương tiện sử dụng khi chưa đủ tuổi, chưa có giấy phép lái xe theo quy định; xây dựng, duy trì mô hình </w:t>
      </w:r>
      <w:r w:rsidR="00D81BFB" w:rsidRPr="00911328">
        <w:rPr>
          <w:i/>
        </w:rPr>
        <w:t xml:space="preserve">“CCB </w:t>
      </w:r>
      <w:r w:rsidRPr="00911328">
        <w:rPr>
          <w:i/>
        </w:rPr>
        <w:t xml:space="preserve">tham gia </w:t>
      </w:r>
      <w:r w:rsidR="004837F0" w:rsidRPr="00911328">
        <w:rPr>
          <w:i/>
        </w:rPr>
        <w:t>giữ gìn</w:t>
      </w:r>
      <w:r w:rsidRPr="00911328">
        <w:rPr>
          <w:i/>
        </w:rPr>
        <w:t xml:space="preserve"> TTATGT</w:t>
      </w:r>
      <w:r w:rsidR="004837F0" w:rsidRPr="00911328">
        <w:rPr>
          <w:i/>
        </w:rPr>
        <w:t xml:space="preserve"> và xây dựng văn hóa giao thông”</w:t>
      </w:r>
      <w:r w:rsidRPr="00911328">
        <w:t xml:space="preserve"> khu vực trường học; </w:t>
      </w:r>
      <w:r w:rsidR="004837F0" w:rsidRPr="00911328">
        <w:t xml:space="preserve">phối hợp với các ngành liên quan </w:t>
      </w:r>
      <w:r w:rsidRPr="00911328">
        <w:t xml:space="preserve">đưa công tác phổ biến, giáo dục pháp luật về TTATGT cho học sinh vào sinh hoạt định kỳ; coi đây là nhiệm vụ thường xuyên của các </w:t>
      </w:r>
      <w:r w:rsidR="004837F0" w:rsidRPr="00911328">
        <w:t>cấp Hội</w:t>
      </w:r>
      <w:r w:rsidRPr="00911328">
        <w:t>.</w:t>
      </w:r>
    </w:p>
    <w:p w:rsidR="00524913" w:rsidRPr="00911328" w:rsidRDefault="00524913" w:rsidP="004837F0">
      <w:pPr>
        <w:spacing w:after="120" w:line="240" w:lineRule="auto"/>
        <w:ind w:firstLine="720"/>
        <w:jc w:val="both"/>
      </w:pPr>
      <w:r w:rsidRPr="00911328">
        <w:lastRenderedPageBreak/>
        <w:t xml:space="preserve">Đề nghị </w:t>
      </w:r>
      <w:r w:rsidR="004837F0" w:rsidRPr="00911328">
        <w:t>Hội CCB</w:t>
      </w:r>
      <w:r w:rsidRPr="00911328">
        <w:t xml:space="preserve"> các huyện, thị xã, thành phố căn cứ Kế hoạch này để xây dựng kế hoạch </w:t>
      </w:r>
      <w:r w:rsidR="00D25BEC" w:rsidRPr="00911328">
        <w:t xml:space="preserve">tham gia </w:t>
      </w:r>
      <w:r w:rsidRPr="00911328">
        <w:t>thực hiện</w:t>
      </w:r>
      <w:r w:rsidR="00D25BEC" w:rsidRPr="00911328">
        <w:t>.</w:t>
      </w:r>
      <w:r w:rsidR="00911328" w:rsidRPr="00911328">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271"/>
      </w:tblGrid>
      <w:tr w:rsidR="00524913" w:rsidRPr="00911328" w:rsidTr="00312FCB">
        <w:trPr>
          <w:jc w:val="center"/>
        </w:trPr>
        <w:tc>
          <w:tcPr>
            <w:tcW w:w="4768" w:type="dxa"/>
          </w:tcPr>
          <w:p w:rsidR="00524913" w:rsidRPr="00911328" w:rsidRDefault="00524913" w:rsidP="004837F0">
            <w:pPr>
              <w:ind w:left="-124"/>
              <w:jc w:val="both"/>
              <w:rPr>
                <w:rFonts w:cs="Times New Roman"/>
                <w:szCs w:val="28"/>
              </w:rPr>
            </w:pPr>
            <w:r w:rsidRPr="00911328">
              <w:rPr>
                <w:rFonts w:cs="Times New Roman"/>
                <w:b/>
                <w:i/>
                <w:sz w:val="24"/>
                <w:szCs w:val="24"/>
              </w:rPr>
              <w:t>Nơi nhận:</w:t>
            </w:r>
            <w:r w:rsidRPr="00911328">
              <w:rPr>
                <w:rFonts w:cs="Times New Roman"/>
                <w:szCs w:val="28"/>
              </w:rPr>
              <w:t xml:space="preserve"> </w:t>
            </w:r>
            <w:r w:rsidRPr="00911328">
              <w:rPr>
                <w:rFonts w:cs="Times New Roman"/>
                <w:szCs w:val="28"/>
              </w:rPr>
              <w:tab/>
            </w:r>
            <w:r w:rsidRPr="00911328">
              <w:rPr>
                <w:rFonts w:cs="Times New Roman"/>
                <w:szCs w:val="28"/>
              </w:rPr>
              <w:tab/>
            </w:r>
            <w:r w:rsidRPr="00911328">
              <w:rPr>
                <w:rFonts w:cs="Times New Roman"/>
                <w:szCs w:val="28"/>
              </w:rPr>
              <w:tab/>
            </w:r>
            <w:r w:rsidRPr="00911328">
              <w:rPr>
                <w:rFonts w:cs="Times New Roman"/>
                <w:szCs w:val="28"/>
              </w:rPr>
              <w:tab/>
            </w:r>
            <w:r w:rsidRPr="00911328">
              <w:rPr>
                <w:rFonts w:cs="Times New Roman"/>
                <w:szCs w:val="28"/>
              </w:rPr>
              <w:tab/>
            </w:r>
          </w:p>
          <w:p w:rsidR="00524913" w:rsidRPr="00911328" w:rsidRDefault="00524913" w:rsidP="004837F0">
            <w:pPr>
              <w:ind w:left="-124"/>
              <w:jc w:val="both"/>
              <w:rPr>
                <w:rFonts w:cs="Times New Roman"/>
                <w:sz w:val="22"/>
              </w:rPr>
            </w:pPr>
            <w:r w:rsidRPr="00911328">
              <w:rPr>
                <w:rFonts w:cs="Times New Roman"/>
                <w:sz w:val="22"/>
              </w:rPr>
              <w:t xml:space="preserve">- Ban </w:t>
            </w:r>
            <w:r w:rsidR="004837F0" w:rsidRPr="00911328">
              <w:rPr>
                <w:rFonts w:cs="Times New Roman"/>
                <w:sz w:val="22"/>
              </w:rPr>
              <w:t>Pháp luật</w:t>
            </w:r>
            <w:r w:rsidRPr="00911328">
              <w:rPr>
                <w:rFonts w:cs="Times New Roman"/>
                <w:sz w:val="22"/>
              </w:rPr>
              <w:t xml:space="preserve"> T</w:t>
            </w:r>
            <w:r w:rsidR="004837F0" w:rsidRPr="00911328">
              <w:rPr>
                <w:rFonts w:cs="Times New Roman"/>
                <w:sz w:val="22"/>
              </w:rPr>
              <w:t>W</w:t>
            </w:r>
            <w:r w:rsidRPr="00911328">
              <w:rPr>
                <w:rFonts w:cs="Times New Roman"/>
                <w:sz w:val="22"/>
              </w:rPr>
              <w:t xml:space="preserve"> Hội CCB VN (b/cáo);                   </w:t>
            </w:r>
          </w:p>
          <w:p w:rsidR="00524913" w:rsidRPr="00911328" w:rsidRDefault="00524913" w:rsidP="004837F0">
            <w:pPr>
              <w:ind w:left="-124"/>
              <w:jc w:val="both"/>
              <w:rPr>
                <w:rFonts w:cs="Times New Roman"/>
                <w:sz w:val="22"/>
              </w:rPr>
            </w:pPr>
            <w:r w:rsidRPr="00911328">
              <w:rPr>
                <w:rFonts w:cs="Times New Roman"/>
                <w:sz w:val="22"/>
              </w:rPr>
              <w:t xml:space="preserve">- Ban </w:t>
            </w:r>
            <w:r w:rsidR="004837F0" w:rsidRPr="00911328">
              <w:rPr>
                <w:rFonts w:cs="Times New Roman"/>
                <w:sz w:val="22"/>
              </w:rPr>
              <w:t>ATGT</w:t>
            </w:r>
            <w:r w:rsidRPr="00911328">
              <w:rPr>
                <w:rFonts w:cs="Times New Roman"/>
                <w:sz w:val="22"/>
              </w:rPr>
              <w:t xml:space="preserve"> tỉnh (để báo cáo);</w:t>
            </w:r>
          </w:p>
          <w:p w:rsidR="00524913" w:rsidRPr="00911328" w:rsidRDefault="00524913" w:rsidP="004837F0">
            <w:pPr>
              <w:ind w:left="-124"/>
              <w:jc w:val="both"/>
              <w:rPr>
                <w:rFonts w:cs="Times New Roman"/>
                <w:sz w:val="22"/>
              </w:rPr>
            </w:pPr>
            <w:r w:rsidRPr="00911328">
              <w:rPr>
                <w:rFonts w:cs="Times New Roman"/>
                <w:sz w:val="22"/>
              </w:rPr>
              <w:t xml:space="preserve">- Thường trực Hội CCB tỉnh (để chỉ đạo); </w:t>
            </w:r>
          </w:p>
          <w:p w:rsidR="00524913" w:rsidRPr="00911328" w:rsidRDefault="00524913" w:rsidP="004837F0">
            <w:pPr>
              <w:ind w:left="-124"/>
              <w:jc w:val="both"/>
              <w:rPr>
                <w:rFonts w:cs="Times New Roman"/>
                <w:sz w:val="22"/>
              </w:rPr>
            </w:pPr>
            <w:r w:rsidRPr="00911328">
              <w:rPr>
                <w:rFonts w:cs="Times New Roman"/>
                <w:sz w:val="22"/>
              </w:rPr>
              <w:t xml:space="preserve">- Hội CCB các huyện, thị xã, thành phố (thực hiện);                                     </w:t>
            </w:r>
          </w:p>
          <w:p w:rsidR="00524913" w:rsidRPr="00911328" w:rsidRDefault="00524913" w:rsidP="004837F0">
            <w:pPr>
              <w:ind w:left="-124"/>
              <w:jc w:val="both"/>
              <w:rPr>
                <w:rFonts w:cs="Times New Roman"/>
                <w:sz w:val="22"/>
              </w:rPr>
            </w:pPr>
            <w:r w:rsidRPr="00911328">
              <w:rPr>
                <w:rFonts w:cs="Times New Roman"/>
                <w:sz w:val="22"/>
              </w:rPr>
              <w:t>- Các Ban cơ quan Hội CCB tỉnh;</w:t>
            </w:r>
          </w:p>
          <w:p w:rsidR="00524913" w:rsidRPr="00911328" w:rsidRDefault="00524913" w:rsidP="004837F0">
            <w:pPr>
              <w:ind w:left="-124"/>
              <w:jc w:val="both"/>
              <w:rPr>
                <w:rFonts w:cs="Times New Roman"/>
                <w:sz w:val="22"/>
              </w:rPr>
            </w:pPr>
            <w:r w:rsidRPr="00911328">
              <w:rPr>
                <w:rFonts w:cs="Times New Roman"/>
                <w:sz w:val="22"/>
              </w:rPr>
              <w:t>- Lưu: VT, TG. Cg</w:t>
            </w:r>
            <w:r w:rsidR="004837F0" w:rsidRPr="00911328">
              <w:rPr>
                <w:rFonts w:cs="Times New Roman"/>
                <w:sz w:val="22"/>
              </w:rPr>
              <w:t>26</w:t>
            </w:r>
            <w:r w:rsidRPr="00911328">
              <w:rPr>
                <w:rFonts w:cs="Times New Roman"/>
                <w:sz w:val="22"/>
              </w:rPr>
              <w:t>b.</w:t>
            </w:r>
          </w:p>
          <w:p w:rsidR="00524913" w:rsidRPr="00911328" w:rsidRDefault="00524913" w:rsidP="004837F0">
            <w:pPr>
              <w:jc w:val="both"/>
              <w:rPr>
                <w:rFonts w:cs="Times New Roman"/>
                <w:b/>
                <w:i/>
                <w:sz w:val="14"/>
                <w:szCs w:val="24"/>
              </w:rPr>
            </w:pPr>
          </w:p>
        </w:tc>
        <w:tc>
          <w:tcPr>
            <w:tcW w:w="4271" w:type="dxa"/>
          </w:tcPr>
          <w:p w:rsidR="00524913" w:rsidRPr="00911328" w:rsidRDefault="00524913" w:rsidP="004837F0">
            <w:pPr>
              <w:jc w:val="center"/>
              <w:rPr>
                <w:rFonts w:cs="Times New Roman"/>
                <w:b/>
                <w:szCs w:val="28"/>
              </w:rPr>
            </w:pPr>
            <w:r w:rsidRPr="00911328">
              <w:rPr>
                <w:rFonts w:cs="Times New Roman"/>
                <w:b/>
                <w:szCs w:val="28"/>
              </w:rPr>
              <w:t>KT. CHỦ TỊCH</w:t>
            </w:r>
          </w:p>
          <w:p w:rsidR="00524913" w:rsidRPr="00911328" w:rsidRDefault="00524913" w:rsidP="004837F0">
            <w:pPr>
              <w:jc w:val="center"/>
              <w:rPr>
                <w:rFonts w:cs="Times New Roman"/>
                <w:b/>
                <w:szCs w:val="28"/>
              </w:rPr>
            </w:pPr>
            <w:r w:rsidRPr="00911328">
              <w:rPr>
                <w:rFonts w:cs="Times New Roman"/>
                <w:b/>
                <w:szCs w:val="28"/>
              </w:rPr>
              <w:t>PHÓ CHỦ TỊCH</w:t>
            </w:r>
          </w:p>
          <w:p w:rsidR="00524913" w:rsidRPr="00911328" w:rsidRDefault="00524913" w:rsidP="004837F0">
            <w:pPr>
              <w:jc w:val="center"/>
              <w:rPr>
                <w:rFonts w:cs="Times New Roman"/>
                <w:szCs w:val="28"/>
              </w:rPr>
            </w:pPr>
          </w:p>
          <w:p w:rsidR="00524913" w:rsidRPr="00911328" w:rsidRDefault="00524913" w:rsidP="004837F0">
            <w:pPr>
              <w:jc w:val="center"/>
              <w:rPr>
                <w:rFonts w:cs="Times New Roman"/>
                <w:szCs w:val="28"/>
              </w:rPr>
            </w:pPr>
          </w:p>
          <w:p w:rsidR="00524913" w:rsidRDefault="00524913" w:rsidP="004837F0">
            <w:pPr>
              <w:jc w:val="center"/>
              <w:rPr>
                <w:rFonts w:cs="Times New Roman"/>
                <w:szCs w:val="28"/>
              </w:rPr>
            </w:pPr>
          </w:p>
          <w:p w:rsidR="00D04831" w:rsidRPr="00911328" w:rsidRDefault="00D04831" w:rsidP="004837F0">
            <w:pPr>
              <w:jc w:val="center"/>
              <w:rPr>
                <w:rFonts w:cs="Times New Roman"/>
                <w:szCs w:val="28"/>
              </w:rPr>
            </w:pPr>
          </w:p>
          <w:p w:rsidR="00524913" w:rsidRPr="00911328" w:rsidRDefault="00524913" w:rsidP="004837F0">
            <w:pPr>
              <w:jc w:val="center"/>
              <w:rPr>
                <w:rFonts w:cs="Times New Roman"/>
                <w:szCs w:val="28"/>
              </w:rPr>
            </w:pPr>
          </w:p>
          <w:p w:rsidR="00524913" w:rsidRPr="00911328" w:rsidRDefault="00524913" w:rsidP="004837F0">
            <w:pPr>
              <w:jc w:val="center"/>
              <w:rPr>
                <w:rFonts w:cs="Times New Roman"/>
                <w:szCs w:val="28"/>
              </w:rPr>
            </w:pPr>
          </w:p>
          <w:p w:rsidR="00524913" w:rsidRPr="00911328" w:rsidRDefault="00524913" w:rsidP="004837F0">
            <w:pPr>
              <w:jc w:val="center"/>
              <w:rPr>
                <w:rFonts w:cs="Times New Roman"/>
              </w:rPr>
            </w:pPr>
            <w:r w:rsidRPr="00911328">
              <w:rPr>
                <w:rFonts w:cs="Times New Roman"/>
                <w:b/>
                <w:szCs w:val="28"/>
              </w:rPr>
              <w:t>Bùi Văn Trí</w:t>
            </w:r>
          </w:p>
          <w:p w:rsidR="00524913" w:rsidRPr="00911328" w:rsidRDefault="00524913" w:rsidP="004837F0">
            <w:pPr>
              <w:jc w:val="center"/>
              <w:rPr>
                <w:rFonts w:cs="Times New Roman"/>
                <w:b/>
                <w:i/>
                <w:sz w:val="14"/>
                <w:szCs w:val="24"/>
              </w:rPr>
            </w:pPr>
          </w:p>
        </w:tc>
      </w:tr>
    </w:tbl>
    <w:p w:rsidR="00524913" w:rsidRPr="00911328" w:rsidRDefault="00524913" w:rsidP="004837F0">
      <w:pPr>
        <w:spacing w:after="120"/>
        <w:ind w:firstLine="720"/>
      </w:pPr>
    </w:p>
    <w:sectPr w:rsidR="00524913" w:rsidRPr="00911328" w:rsidSect="00911328">
      <w:footerReference w:type="default" r:id="rId7"/>
      <w:footerReference w:type="first" r:id="rId8"/>
      <w:pgSz w:w="11907" w:h="16840" w:code="9"/>
      <w:pgMar w:top="1134" w:right="1134" w:bottom="1134" w:left="1814"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E6" w:rsidRDefault="007D6DE6" w:rsidP="005251F4">
      <w:pPr>
        <w:spacing w:after="0" w:line="240" w:lineRule="auto"/>
      </w:pPr>
      <w:r>
        <w:separator/>
      </w:r>
    </w:p>
  </w:endnote>
  <w:endnote w:type="continuationSeparator" w:id="0">
    <w:p w:rsidR="007D6DE6" w:rsidRDefault="007D6DE6" w:rsidP="0052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08905"/>
      <w:docPartObj>
        <w:docPartGallery w:val="Page Numbers (Bottom of Page)"/>
        <w:docPartUnique/>
      </w:docPartObj>
    </w:sdtPr>
    <w:sdtEndPr>
      <w:rPr>
        <w:noProof/>
      </w:rPr>
    </w:sdtEndPr>
    <w:sdtContent>
      <w:p w:rsidR="005251F4" w:rsidRDefault="005251F4">
        <w:pPr>
          <w:pStyle w:val="Footer"/>
          <w:jc w:val="right"/>
        </w:pPr>
        <w:r>
          <w:fldChar w:fldCharType="begin"/>
        </w:r>
        <w:r>
          <w:instrText xml:space="preserve"> PAGE   \* MERGEFORMAT </w:instrText>
        </w:r>
        <w:r>
          <w:fldChar w:fldCharType="separate"/>
        </w:r>
        <w:r w:rsidR="0066008D">
          <w:rPr>
            <w:noProof/>
          </w:rPr>
          <w:t>3</w:t>
        </w:r>
        <w:r>
          <w:rPr>
            <w:noProof/>
          </w:rPr>
          <w:fldChar w:fldCharType="end"/>
        </w:r>
      </w:p>
    </w:sdtContent>
  </w:sdt>
  <w:p w:rsidR="005251F4" w:rsidRDefault="00525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093412"/>
      <w:docPartObj>
        <w:docPartGallery w:val="Page Numbers (Bottom of Page)"/>
        <w:docPartUnique/>
      </w:docPartObj>
    </w:sdtPr>
    <w:sdtEndPr>
      <w:rPr>
        <w:noProof/>
      </w:rPr>
    </w:sdtEndPr>
    <w:sdtContent>
      <w:p w:rsidR="005251F4" w:rsidRDefault="005251F4">
        <w:pPr>
          <w:pStyle w:val="Footer"/>
          <w:jc w:val="right"/>
        </w:pPr>
        <w:r>
          <w:fldChar w:fldCharType="begin"/>
        </w:r>
        <w:r>
          <w:instrText xml:space="preserve"> PAGE   \* MERGEFORMAT </w:instrText>
        </w:r>
        <w:r>
          <w:fldChar w:fldCharType="separate"/>
        </w:r>
        <w:r w:rsidR="00797170">
          <w:rPr>
            <w:noProof/>
          </w:rPr>
          <w:t>1</w:t>
        </w:r>
        <w:r>
          <w:rPr>
            <w:noProof/>
          </w:rPr>
          <w:fldChar w:fldCharType="end"/>
        </w:r>
      </w:p>
    </w:sdtContent>
  </w:sdt>
  <w:p w:rsidR="005251F4" w:rsidRDefault="00525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E6" w:rsidRDefault="007D6DE6" w:rsidP="005251F4">
      <w:pPr>
        <w:spacing w:after="0" w:line="240" w:lineRule="auto"/>
      </w:pPr>
      <w:r>
        <w:separator/>
      </w:r>
    </w:p>
  </w:footnote>
  <w:footnote w:type="continuationSeparator" w:id="0">
    <w:p w:rsidR="007D6DE6" w:rsidRDefault="007D6DE6" w:rsidP="00525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13"/>
    <w:rsid w:val="00026167"/>
    <w:rsid w:val="0011310D"/>
    <w:rsid w:val="00167A55"/>
    <w:rsid w:val="001E399D"/>
    <w:rsid w:val="002633F4"/>
    <w:rsid w:val="002713BE"/>
    <w:rsid w:val="002971CC"/>
    <w:rsid w:val="002A1633"/>
    <w:rsid w:val="003334DC"/>
    <w:rsid w:val="00357309"/>
    <w:rsid w:val="003D1327"/>
    <w:rsid w:val="004056B7"/>
    <w:rsid w:val="00423B29"/>
    <w:rsid w:val="00427993"/>
    <w:rsid w:val="0045359C"/>
    <w:rsid w:val="004837F0"/>
    <w:rsid w:val="004F4789"/>
    <w:rsid w:val="00524913"/>
    <w:rsid w:val="005251F4"/>
    <w:rsid w:val="00575BCC"/>
    <w:rsid w:val="005B5051"/>
    <w:rsid w:val="006506EC"/>
    <w:rsid w:val="006529B9"/>
    <w:rsid w:val="0066008D"/>
    <w:rsid w:val="0068048F"/>
    <w:rsid w:val="00784C19"/>
    <w:rsid w:val="00797170"/>
    <w:rsid w:val="007D6DE6"/>
    <w:rsid w:val="00874B94"/>
    <w:rsid w:val="008A4114"/>
    <w:rsid w:val="008C4F1F"/>
    <w:rsid w:val="008D1416"/>
    <w:rsid w:val="00911328"/>
    <w:rsid w:val="0092629E"/>
    <w:rsid w:val="009A11FA"/>
    <w:rsid w:val="00A13D3A"/>
    <w:rsid w:val="00A7707F"/>
    <w:rsid w:val="00A84FF1"/>
    <w:rsid w:val="00BC5E8B"/>
    <w:rsid w:val="00C2518B"/>
    <w:rsid w:val="00CD54EC"/>
    <w:rsid w:val="00D04831"/>
    <w:rsid w:val="00D25BEC"/>
    <w:rsid w:val="00D81BFB"/>
    <w:rsid w:val="00DA0250"/>
    <w:rsid w:val="00DE11A6"/>
    <w:rsid w:val="00EB08B4"/>
    <w:rsid w:val="00F9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1F4"/>
  </w:style>
  <w:style w:type="paragraph" w:styleId="Footer">
    <w:name w:val="footer"/>
    <w:basedOn w:val="Normal"/>
    <w:link w:val="FooterChar"/>
    <w:uiPriority w:val="99"/>
    <w:unhideWhenUsed/>
    <w:rsid w:val="0052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1F4"/>
  </w:style>
  <w:style w:type="paragraph" w:styleId="Footer">
    <w:name w:val="footer"/>
    <w:basedOn w:val="Normal"/>
    <w:link w:val="FooterChar"/>
    <w:uiPriority w:val="99"/>
    <w:unhideWhenUsed/>
    <w:rsid w:val="0052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2024-01-24T09:26:00Z</dcterms:created>
  <dcterms:modified xsi:type="dcterms:W3CDTF">2024-02-28T08:51:00Z</dcterms:modified>
</cp:coreProperties>
</file>